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0D" w:rsidRDefault="004E0C0D" w:rsidP="004E0C0D">
      <w:pPr>
        <w:jc w:val="right"/>
      </w:pPr>
      <w:r>
        <w:t>Załącznik Nr 2</w:t>
      </w:r>
    </w:p>
    <w:p w:rsidR="004E0C0D" w:rsidRDefault="004E0C0D" w:rsidP="004E0C0D">
      <w:pPr>
        <w:jc w:val="right"/>
      </w:pPr>
      <w:r>
        <w:t xml:space="preserve">do Zarządzenia Burmistrza Brzegu </w:t>
      </w:r>
    </w:p>
    <w:p w:rsidR="004E0C0D" w:rsidRDefault="004E0C0D" w:rsidP="004E0C0D">
      <w:pPr>
        <w:jc w:val="right"/>
      </w:pPr>
      <w:r>
        <w:t>nr</w:t>
      </w:r>
      <w:r w:rsidR="00ED7D72">
        <w:t xml:space="preserve"> 1786</w:t>
      </w:r>
      <w:r>
        <w:t>/201</w:t>
      </w:r>
      <w:r w:rsidR="00553EEA">
        <w:t>6</w:t>
      </w:r>
    </w:p>
    <w:p w:rsidR="004E0C0D" w:rsidRDefault="00553EEA" w:rsidP="004E0C0D">
      <w:pPr>
        <w:jc w:val="right"/>
      </w:pPr>
      <w:r>
        <w:t>z dnia</w:t>
      </w:r>
      <w:r w:rsidR="00ED7D72">
        <w:t xml:space="preserve"> 16 grudnia </w:t>
      </w:r>
      <w:bookmarkStart w:id="0" w:name="_GoBack"/>
      <w:bookmarkEnd w:id="0"/>
      <w:r>
        <w:t>2016</w:t>
      </w:r>
      <w:r w:rsidR="004E0C0D">
        <w:t xml:space="preserve"> r.</w:t>
      </w: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E0C0D" w:rsidRDefault="004E0C0D" w:rsidP="004E0C0D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4E0C0D" w:rsidRDefault="004E0C0D" w:rsidP="004E0C0D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złożonych ofert, w terminie  do     3 dni roboczych od dnia powiadomienia.  Za wystarczające uważa się powiadomienie droga elektroniczną lub w formie telefonicznej.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/>
    <w:p w:rsidR="004E0C0D" w:rsidRDefault="004E0C0D" w:rsidP="004E0C0D"/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553EEA" w:rsidRDefault="00632C65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Załącznik Nr </w:t>
      </w:r>
      <w:r w:rsidR="00A12AA5">
        <w:rPr>
          <w:rFonts w:ascii="TimesNewRoman" w:hAnsi="TimesNewRoman" w:cs="TimesNewRoman"/>
        </w:rPr>
        <w:t>1</w:t>
      </w:r>
    </w:p>
    <w:p w:rsidR="00553EEA" w:rsidRDefault="00553EEA" w:rsidP="00553EEA">
      <w:pPr>
        <w:autoSpaceDE w:val="0"/>
        <w:autoSpaceDN w:val="0"/>
        <w:adjustRightInd w:val="0"/>
        <w:ind w:left="7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Regulaminu Pracy Komisji Konkursowej</w:t>
      </w:r>
    </w:p>
    <w:p w:rsidR="00553EEA" w:rsidRDefault="00553EEA" w:rsidP="00553E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OŚWIADCZENIE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Członka Komisji Konkursowej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do opiniowania ofert złożonych w otwartym konkursie ofert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na realizację zadań publicznych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Oświadczam, że nie pozostaję w stosunku </w:t>
      </w:r>
      <w:r w:rsidRPr="00D42B11">
        <w:rPr>
          <w:rFonts w:ascii="TimesNewRoman" w:hAnsi="TimesNewRoman" w:cs="TimesNewRoman"/>
          <w:sz w:val="26"/>
          <w:szCs w:val="26"/>
        </w:rPr>
        <w:t>prawnym lub faktycznym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z podmiotami biorącymi udział w konkursie </w:t>
      </w: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ogłoszonym w dniu </w:t>
      </w:r>
      <w:r>
        <w:rPr>
          <w:rFonts w:ascii="TimesNewRoman" w:hAnsi="TimesNewRoman" w:cs="TimesNewRoman"/>
          <w:sz w:val="26"/>
          <w:szCs w:val="26"/>
        </w:rPr>
        <w:t>....................................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przez Burmistrza Brzegu  na realizację zadań publicznych </w:t>
      </w:r>
      <w:r>
        <w:rPr>
          <w:rFonts w:ascii="TimesNewRoman" w:hAnsi="TimesNewRoman" w:cs="TimesNewRoman"/>
          <w:sz w:val="26"/>
          <w:szCs w:val="26"/>
        </w:rPr>
        <w:t>.......................................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który może budzić uzasadnioną wątpliwość co do mojej bezstronności podczas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oceniania ofert i nie podlegam wyłączeniu na podstawie art. 15 ust. 2d i 2f ustawy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z dnia 24 kwietnia 2003 roku o działalności pożytku publicznego i o wolontariacie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(Dz. U. z 2016 roku poz. 1817 z </w:t>
      </w:r>
      <w:proofErr w:type="spellStart"/>
      <w:r>
        <w:rPr>
          <w:rFonts w:ascii="TimesNewRoman" w:hAnsi="TimesNewRoman" w:cs="TimesNewRoman"/>
          <w:sz w:val="26"/>
          <w:szCs w:val="26"/>
        </w:rPr>
        <w:t>późn</w:t>
      </w:r>
      <w:proofErr w:type="spellEnd"/>
      <w:r>
        <w:rPr>
          <w:rFonts w:ascii="TimesNewRoman" w:hAnsi="TimesNewRoman" w:cs="TimesNewRoman"/>
          <w:sz w:val="26"/>
          <w:szCs w:val="26"/>
        </w:rPr>
        <w:t>. zm.).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</w:t>
      </w:r>
    </w:p>
    <w:p w:rsidR="00553EEA" w:rsidRDefault="00553EEA" w:rsidP="00553EEA">
      <w:pPr>
        <w:jc w:val="both"/>
      </w:pPr>
      <w:r>
        <w:rPr>
          <w:rFonts w:ascii="TimesNewRoman" w:hAnsi="TimesNewRoman" w:cs="TimesNewRoman"/>
        </w:rPr>
        <w:t>(data i podpis Członka Komisji Konkursowej)</w:t>
      </w:r>
    </w:p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  <w:r>
        <w:lastRenderedPageBreak/>
        <w:t>Załącznik nr 2 do Regulaminu Pracy Komisji Konkursowej</w:t>
      </w: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709"/>
        <w:gridCol w:w="709"/>
        <w:gridCol w:w="4536"/>
      </w:tblGrid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/>
    <w:p w:rsidR="004E0C0D" w:rsidRDefault="004E0C0D" w:rsidP="004E0C0D">
      <w:pPr>
        <w:jc w:val="both"/>
      </w:pP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993"/>
        <w:gridCol w:w="4393"/>
      </w:tblGrid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Masowość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200 osób: 10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- 100-200 osób: 8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- 70-100 osób: 6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- 50-70 osób: 3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50 osób: 2 punkty.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</w:t>
            </w:r>
            <w:r w:rsidR="00632C65">
              <w:rPr>
                <w:rFonts w:eastAsia="Calibri"/>
                <w:b/>
                <w:szCs w:val="24"/>
              </w:rPr>
              <w:t xml:space="preserve"> (rozgrywki ligowe)</w:t>
            </w:r>
            <w:r>
              <w:rPr>
                <w:rFonts w:eastAsia="Calibri"/>
                <w:b/>
                <w:szCs w:val="24"/>
              </w:rPr>
              <w:t>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rozgr</w:t>
            </w:r>
            <w:r w:rsidR="00632C65">
              <w:rPr>
                <w:rFonts w:eastAsia="Calibri"/>
                <w:b/>
                <w:szCs w:val="24"/>
              </w:rPr>
              <w:t>ywkach ligowych: 0 – 20 punktów: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sekcja – 5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2-3 sekcje – 10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4-5 sekcji – 15 punktów,</w:t>
            </w:r>
          </w:p>
          <w:p w:rsidR="004E0C0D" w:rsidRDefault="00632C65" w:rsidP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powyżej 5 sekcji – 20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632C65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 (udział w stałych pucharach, turniejach, zawodach).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 0 –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dzieci (do 3</w:t>
            </w:r>
            <w:r w:rsidR="004E0C0D">
              <w:rPr>
                <w:rFonts w:eastAsia="Calibri"/>
                <w:b/>
                <w:szCs w:val="24"/>
              </w:rPr>
              <w:t xml:space="preserve"> klasy gimnazjum włącznie) i młodzieży jako adresatów </w:t>
            </w:r>
            <w:r w:rsidR="004E0C0D">
              <w:rPr>
                <w:rFonts w:eastAsia="Calibri"/>
                <w:b/>
                <w:szCs w:val="24"/>
              </w:rPr>
              <w:lastRenderedPageBreak/>
              <w:t>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 (powyżej 7 punktów, jeśli dzieci biorą udział w rozgrywkach kwalifikowanych – np. rozgrywki ligowe).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Dotychczasowe osiągnięcia sportowe oferenta.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Jeżeli tylko 1 sekcja – maksymalnie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(0 punktów w przypadku nieterminowego złożenia sprawozdania w przeszłości).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</w:t>
            </w:r>
            <w:r w:rsidR="00632C65">
              <w:rPr>
                <w:rFonts w:eastAsia="Calibri"/>
                <w:b/>
                <w:szCs w:val="24"/>
              </w:rPr>
              <w:t xml:space="preserve">od 1 </w:t>
            </w:r>
            <w:r>
              <w:rPr>
                <w:rFonts w:eastAsia="Calibri"/>
                <w:b/>
                <w:szCs w:val="24"/>
              </w:rPr>
              <w:t>do 20% - 2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20,1% do 30% - 4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30,1% do 40% - 7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potwierdzonych finansowych środków zewnętrznych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takie środki są: 5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Posiadane zasoby kadrowe i rzeczowe (w </w:t>
            </w:r>
            <w:r>
              <w:rPr>
                <w:rFonts w:eastAsia="Calibri"/>
                <w:b/>
                <w:szCs w:val="24"/>
              </w:rPr>
              <w:lastRenderedPageBreak/>
              <w:t>szczególności uprawnienia trenerskie, umowy użyczenia obiektów, itp.).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>
      <w:pPr>
        <w:rPr>
          <w:szCs w:val="24"/>
        </w:rPr>
      </w:pPr>
    </w:p>
    <w:p w:rsidR="00806021" w:rsidRDefault="00806021"/>
    <w:sectPr w:rsidR="0080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D"/>
    <w:rsid w:val="004E0C0D"/>
    <w:rsid w:val="00553EEA"/>
    <w:rsid w:val="00632C65"/>
    <w:rsid w:val="00806021"/>
    <w:rsid w:val="00A12AA5"/>
    <w:rsid w:val="00E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7</cp:revision>
  <dcterms:created xsi:type="dcterms:W3CDTF">2016-12-16T07:38:00Z</dcterms:created>
  <dcterms:modified xsi:type="dcterms:W3CDTF">2016-12-16T08:17:00Z</dcterms:modified>
</cp:coreProperties>
</file>