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51" w:rsidRPr="00CD2A4E" w:rsidRDefault="00ED019B" w:rsidP="00B018C4">
      <w:pPr>
        <w:jc w:val="center"/>
        <w:rPr>
          <w:rFonts w:ascii="Times New Roman" w:hAnsi="Times New Roman" w:cs="Times New Roman"/>
          <w:b/>
        </w:rPr>
      </w:pPr>
      <w:r w:rsidRPr="00ED019B">
        <w:rPr>
          <w:rFonts w:ascii="Times New Roman" w:hAnsi="Times New Roman" w:cs="Times New Roman"/>
          <w:b/>
        </w:rPr>
        <w:t>ZBYCIE PRZYLEGŁEJ NIERUCHOMOŚCI GRUNTOWEJ NA RZECZ WSPÓLNOT MIESZKANIOWYCH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83"/>
        <w:gridCol w:w="5879"/>
      </w:tblGrid>
      <w:tr w:rsidR="005C447C" w:rsidTr="005C447C">
        <w:tc>
          <w:tcPr>
            <w:tcW w:w="3227" w:type="dxa"/>
          </w:tcPr>
          <w:p w:rsidR="005C447C" w:rsidRPr="00CF06C7" w:rsidRDefault="005C447C" w:rsidP="005C447C">
            <w:pPr>
              <w:rPr>
                <w:rFonts w:ascii="Times New Roman" w:hAnsi="Times New Roman" w:cs="Times New Roman"/>
                <w:b/>
              </w:rPr>
            </w:pPr>
            <w:r w:rsidRPr="00CF06C7">
              <w:rPr>
                <w:rFonts w:ascii="Times New Roman" w:hAnsi="Times New Roman" w:cs="Times New Roman"/>
                <w:b/>
              </w:rPr>
              <w:t xml:space="preserve">Nazwa procedury             </w:t>
            </w:r>
          </w:p>
        </w:tc>
        <w:tc>
          <w:tcPr>
            <w:tcW w:w="5985" w:type="dxa"/>
          </w:tcPr>
          <w:p w:rsidR="005C447C" w:rsidRPr="00CF06C7" w:rsidRDefault="005C447C" w:rsidP="00ED019B">
            <w:pPr>
              <w:rPr>
                <w:rFonts w:ascii="Times New Roman" w:hAnsi="Times New Roman" w:cs="Times New Roman"/>
                <w:b/>
              </w:rPr>
            </w:pPr>
            <w:r w:rsidRPr="005C447C">
              <w:rPr>
                <w:rFonts w:ascii="Times New Roman" w:hAnsi="Times New Roman" w:cs="Times New Roman"/>
                <w:b/>
              </w:rPr>
              <w:t>Zbycie przyległej nieruchomości gruntowej na rzecz wspólnot mieszkaniowych</w:t>
            </w:r>
          </w:p>
        </w:tc>
      </w:tr>
      <w:tr w:rsidR="00D506C0" w:rsidTr="00166F92">
        <w:tc>
          <w:tcPr>
            <w:tcW w:w="3227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Wymagane dokumenty</w:t>
            </w:r>
          </w:p>
        </w:tc>
        <w:tc>
          <w:tcPr>
            <w:tcW w:w="5985" w:type="dxa"/>
          </w:tcPr>
          <w:p w:rsidR="003E47E0" w:rsidRPr="00D506C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Wniosek wspólnoty mieszkaniowej o nabycie przyległej 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ruchomości gruntowej lub jej cz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ęści, która wraz z dotychczas wydzieloną działką pod budynkiem będzie spełniać wymogi działki budowlanej, podpisany przez wszystkich właścicieli wyodrębnionych lokali w budynku.</w:t>
            </w:r>
          </w:p>
          <w:p w:rsidR="00D506C0" w:rsidRPr="00D506C0" w:rsidRDefault="00D506C0" w:rsidP="00EA2B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6C0" w:rsidTr="00166F92">
        <w:tc>
          <w:tcPr>
            <w:tcW w:w="3227" w:type="dxa"/>
          </w:tcPr>
          <w:p w:rsidR="00D506C0" w:rsidRPr="00D506C0" w:rsidRDefault="00D506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Opłaty skarbowe</w:t>
            </w:r>
          </w:p>
        </w:tc>
        <w:tc>
          <w:tcPr>
            <w:tcW w:w="5985" w:type="dxa"/>
          </w:tcPr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Wniosek nie podlega opłacie skarbowej.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Nabywca ponosi koszty przygotowania nieruchomości do zbycia.</w:t>
            </w:r>
          </w:p>
          <w:p w:rsidR="00D506C0" w:rsidRPr="00D506C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Przed umową notarialną - wpłata ceny sprzedaży gruntu z uwzględnieniem podatku VAT.</w:t>
            </w:r>
          </w:p>
        </w:tc>
      </w:tr>
      <w:tr w:rsidR="00572BD3" w:rsidTr="00166F92">
        <w:tc>
          <w:tcPr>
            <w:tcW w:w="3227" w:type="dxa"/>
          </w:tcPr>
          <w:p w:rsidR="00572BD3" w:rsidRPr="00D506C0" w:rsidRDefault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Opłaty administracyjne </w:t>
            </w:r>
          </w:p>
        </w:tc>
        <w:tc>
          <w:tcPr>
            <w:tcW w:w="5985" w:type="dxa"/>
          </w:tcPr>
          <w:p w:rsidR="00572BD3" w:rsidRPr="00572BD3" w:rsidRDefault="00572BD3" w:rsidP="00383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2BD3"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</w:tc>
      </w:tr>
      <w:tr w:rsidR="00572BD3" w:rsidTr="00166F92">
        <w:tc>
          <w:tcPr>
            <w:tcW w:w="3227" w:type="dxa"/>
          </w:tcPr>
          <w:p w:rsidR="00572BD3" w:rsidRPr="00D506C0" w:rsidRDefault="00572B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Termin i sposób 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8D0C6C">
              <w:rPr>
                <w:rFonts w:ascii="Times New Roman" w:hAnsi="Times New Roman" w:cs="Times New Roman"/>
                <w:sz w:val="20"/>
                <w:szCs w:val="20"/>
              </w:rPr>
              <w:t>atwienia sprawy</w:t>
            </w:r>
          </w:p>
        </w:tc>
        <w:tc>
          <w:tcPr>
            <w:tcW w:w="5985" w:type="dxa"/>
          </w:tcPr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Termin: około 5-8 miesięcy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Rejestracja wniosku i przygotowanie wniosku do realizacji - do14 dni.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Pozyskanie stosownych opinii do realizacji wniosku - do 30 dni.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Czynności wynikające z ustawy o gospodarce nieruchomościami, zmierzające do realizacji wniosku (wycena nieruchomości, pr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 xml:space="preserve">zygotowanie materiałów dla 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Burmistrza, Zarządzenie Burmistrza Brzegu o przeznaczeniu nier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>uchomości do zbycia, wykaz, ogł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oszenie w prasie) - do 60 dni.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Przygotowanie materiałów do zawarcia umowy notarialnej kończącej realizację wniosku(protokół uzgodnień, pełnomocnictwo udzielone przez wspólnotę zarządom do zawarcia aktu notarialnego, akt notarialny) - do 3 miesięcy.</w:t>
            </w:r>
          </w:p>
          <w:p w:rsidR="003E47E0" w:rsidRPr="003E47E0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>W przypadku koniecznoś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ci uregulow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>ania stanu prawnego nieruchomoś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ci (podział geodezyjny, zmiana udziałów, przeprowadzenie spraw spadkowych), brak</w:t>
            </w:r>
            <w:r w:rsidR="00CD73C9">
              <w:rPr>
                <w:rFonts w:ascii="Times New Roman" w:hAnsi="Times New Roman" w:cs="Times New Roman"/>
                <w:sz w:val="20"/>
                <w:szCs w:val="20"/>
              </w:rPr>
              <w:t xml:space="preserve"> możliwości szczegółowego określe</w:t>
            </w: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nia terminu.</w:t>
            </w:r>
          </w:p>
          <w:p w:rsidR="00572BD3" w:rsidRPr="00572BD3" w:rsidRDefault="003E47E0" w:rsidP="003E4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47E0">
              <w:rPr>
                <w:rFonts w:ascii="Times New Roman" w:hAnsi="Times New Roman" w:cs="Times New Roman"/>
                <w:sz w:val="20"/>
                <w:szCs w:val="20"/>
              </w:rPr>
              <w:t>Forma: akt notarialny.</w:t>
            </w:r>
          </w:p>
        </w:tc>
      </w:tr>
      <w:tr w:rsidR="00592CD1" w:rsidTr="00166F92">
        <w:tc>
          <w:tcPr>
            <w:tcW w:w="3227" w:type="dxa"/>
          </w:tcPr>
          <w:p w:rsidR="00592CD1" w:rsidRPr="00847DC6" w:rsidRDefault="00592CD1" w:rsidP="00AC4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>Miejsce złożenia dokumentów</w:t>
            </w:r>
          </w:p>
        </w:tc>
        <w:tc>
          <w:tcPr>
            <w:tcW w:w="5985" w:type="dxa"/>
          </w:tcPr>
          <w:p w:rsidR="008F0021" w:rsidRPr="008F0021" w:rsidRDefault="008F0021" w:rsidP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21">
              <w:rPr>
                <w:rFonts w:ascii="Times New Roman" w:hAnsi="Times New Roman" w:cs="Times New Roman"/>
                <w:sz w:val="20"/>
                <w:szCs w:val="20"/>
              </w:rPr>
              <w:t>Urząd Miasta ul. Robotnicza 12, 49-300 Brzeg</w:t>
            </w:r>
          </w:p>
          <w:p w:rsidR="00592CD1" w:rsidRPr="00847DC6" w:rsidRDefault="008F0021" w:rsidP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021">
              <w:rPr>
                <w:rFonts w:ascii="Times New Roman" w:hAnsi="Times New Roman" w:cs="Times New Roman"/>
                <w:sz w:val="20"/>
                <w:szCs w:val="20"/>
              </w:rPr>
              <w:t>Biuro podawcze - parter budynek „A" czynne codziennie od poniedziałku do piątku w godz. od 7.15 do 15.15.</w:t>
            </w:r>
          </w:p>
        </w:tc>
      </w:tr>
      <w:tr w:rsidR="00D506C0" w:rsidTr="00166F92">
        <w:tc>
          <w:tcPr>
            <w:tcW w:w="3227" w:type="dxa"/>
          </w:tcPr>
          <w:p w:rsidR="00D506C0" w:rsidRPr="00847DC6" w:rsidRDefault="00847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DC6">
              <w:rPr>
                <w:rFonts w:ascii="Times New Roman" w:hAnsi="Times New Roman" w:cs="Times New Roman"/>
                <w:sz w:val="20"/>
                <w:szCs w:val="20"/>
              </w:rPr>
              <w:t xml:space="preserve">Komórka odpowiedzialna </w:t>
            </w:r>
          </w:p>
        </w:tc>
        <w:tc>
          <w:tcPr>
            <w:tcW w:w="5985" w:type="dxa"/>
          </w:tcPr>
          <w:p w:rsidR="00D506C0" w:rsidRPr="00847DC6" w:rsidRDefault="008F0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Gospodarki Nieruchomościami i Lokalami</w:t>
            </w:r>
          </w:p>
        </w:tc>
      </w:tr>
      <w:tr w:rsidR="00D506C0" w:rsidTr="00166F92">
        <w:tc>
          <w:tcPr>
            <w:tcW w:w="3227" w:type="dxa"/>
          </w:tcPr>
          <w:p w:rsidR="00D506C0" w:rsidRPr="00D506C0" w:rsidRDefault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Tryb odwoławczy</w:t>
            </w:r>
          </w:p>
        </w:tc>
        <w:tc>
          <w:tcPr>
            <w:tcW w:w="5985" w:type="dxa"/>
          </w:tcPr>
          <w:p w:rsidR="00D506C0" w:rsidRPr="00D506C0" w:rsidRDefault="00822BF1" w:rsidP="00EA1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BF1">
              <w:rPr>
                <w:rFonts w:ascii="Times New Roman" w:hAnsi="Times New Roman" w:cs="Times New Roman"/>
                <w:sz w:val="20"/>
                <w:szCs w:val="20"/>
              </w:rPr>
              <w:t>Wobec faktu, że sprawy zbywania nieruchomości są sprawami cywilno-prawnymi i do umowy dochodzi poprzez złożenie oświadczeń woli przez strony przed notariuszem, nie przewiduje się w tego typu sprawach trybu odwoławczego.</w:t>
            </w:r>
          </w:p>
        </w:tc>
      </w:tr>
      <w:tr w:rsidR="007C628E" w:rsidTr="00166F92">
        <w:tc>
          <w:tcPr>
            <w:tcW w:w="3227" w:type="dxa"/>
          </w:tcPr>
          <w:p w:rsidR="007C628E" w:rsidRDefault="007C6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Podstawa prawna</w:t>
            </w:r>
          </w:p>
        </w:tc>
        <w:tc>
          <w:tcPr>
            <w:tcW w:w="5985" w:type="dxa"/>
          </w:tcPr>
          <w:p w:rsidR="00822BF1" w:rsidRPr="00DD148D" w:rsidRDefault="00822BF1" w:rsidP="0082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8D">
              <w:rPr>
                <w:rFonts w:ascii="Times New Roman" w:hAnsi="Times New Roman" w:cs="Times New Roman"/>
                <w:sz w:val="20"/>
                <w:szCs w:val="20"/>
              </w:rPr>
              <w:t>•Art. 209a ustawy z dnia 21 sierpnia 1997 r. o gospodarce nieruchomościami</w:t>
            </w:r>
            <w:r w:rsidR="00CD73C9" w:rsidRPr="00DD148D">
              <w:rPr>
                <w:rFonts w:ascii="Times New Roman" w:hAnsi="Times New Roman" w:cs="Times New Roman"/>
                <w:sz w:val="20"/>
                <w:szCs w:val="20"/>
              </w:rPr>
              <w:t xml:space="preserve"> (Dz. U. z 2018 r. poz. 2204 ze zm.)</w:t>
            </w:r>
          </w:p>
          <w:p w:rsidR="007C628E" w:rsidRPr="0094119C" w:rsidRDefault="00822BF1" w:rsidP="0082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48D">
              <w:rPr>
                <w:rFonts w:ascii="Times New Roman" w:hAnsi="Times New Roman" w:cs="Times New Roman"/>
                <w:sz w:val="20"/>
                <w:szCs w:val="20"/>
              </w:rPr>
              <w:t>•Uchwała Nr XXI/221/16 Rady Miejskiej Brzegu z dnia 28 czerwca 2016 r. w sprawie zasad nabywania, zbywania i obciążania nieruchomości Gminy Brzeg oraz ich wydzierżawiania lub najmu na okres dłuższy niż trzy lata (Dz. U. Woj. Opolskiego 2016 r.,</w:t>
            </w:r>
            <w:r w:rsidR="0082511E" w:rsidRPr="00DD1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148D">
              <w:rPr>
                <w:rFonts w:ascii="Times New Roman" w:hAnsi="Times New Roman" w:cs="Times New Roman"/>
                <w:sz w:val="20"/>
                <w:szCs w:val="20"/>
              </w:rPr>
              <w:t>poz.1516).</w:t>
            </w:r>
          </w:p>
        </w:tc>
      </w:tr>
      <w:tr w:rsidR="007C628E" w:rsidTr="00166F92">
        <w:trPr>
          <w:trHeight w:val="708"/>
        </w:trPr>
        <w:tc>
          <w:tcPr>
            <w:tcW w:w="3227" w:type="dxa"/>
          </w:tcPr>
          <w:p w:rsidR="007C628E" w:rsidRDefault="00A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Dodatkowe informacje </w:t>
            </w:r>
          </w:p>
        </w:tc>
        <w:tc>
          <w:tcPr>
            <w:tcW w:w="5985" w:type="dxa"/>
          </w:tcPr>
          <w:p w:rsidR="00B52E8D" w:rsidRPr="00B52E8D" w:rsidRDefault="00CD73C9" w:rsidP="00B5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Zasadą zbywania nieruchomoś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ci jest tryb przet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argowy, od którego wyjątki są ś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ciśle okreś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lone w ustawie o gospodarce nieruchomościami. Jednym z takich w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yjątków jest zbycie nieruchomoś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ci gruntowej na rzecz Wspólnoty Mieszkaniowej w trybie bezprzetargowym zgodnie z art.209a ustawy z dnia 21 sierpnia 1997r. o gospodarce nieruchomościami (Dz.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U.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z 201</w:t>
            </w:r>
            <w:r w:rsidR="004374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r. poz.2</w:t>
            </w:r>
            <w:r w:rsidR="0043746D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 xml:space="preserve"> ze zmianami) przyległej lub jej części, która wraz z dotychczas wydzieloną działką pod budynkiem będzie spełniać wymogi działki budowlanej,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podpisany przez wszystkich właś</w:t>
            </w:r>
            <w:r w:rsidR="00B52E8D" w:rsidRPr="00B52E8D">
              <w:rPr>
                <w:rFonts w:ascii="Times New Roman" w:hAnsi="Times New Roman" w:cs="Times New Roman"/>
                <w:sz w:val="20"/>
                <w:szCs w:val="20"/>
              </w:rPr>
              <w:t>cicieli wyodrębnionych lokali w budynku.</w:t>
            </w:r>
          </w:p>
          <w:p w:rsidR="00B52E8D" w:rsidRPr="00B52E8D" w:rsidRDefault="00B52E8D" w:rsidP="00B5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 xml:space="preserve">Burmistrz Brzegu sporządza, a następnie podaje do publicznej wiadomości na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okres 21 dni wykazy nieruchomoś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 xml:space="preserve">ci przeznaczonych 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sprzedaży, oddania w użytkowani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e wieczyste. Wykazy nieruchomoś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ci wywieszane są na tablicy ogłoszeń w: Urzędzie Miasta w Brzegu -ul.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Robotnicza 12 oraz zamieszczane na stronie internetowej Urzędu www.brzeg.pl (BIP) zakładka ogłoszenia.</w:t>
            </w:r>
          </w:p>
          <w:p w:rsidR="00A741AB" w:rsidRPr="00A741AB" w:rsidRDefault="00B52E8D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Ponadto informacja o wywieszeniu wykazu podana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 xml:space="preserve"> zostaje do publicznej wiadomoś</w:t>
            </w:r>
            <w:r w:rsidRPr="00B52E8D">
              <w:rPr>
                <w:rFonts w:ascii="Times New Roman" w:hAnsi="Times New Roman" w:cs="Times New Roman"/>
                <w:sz w:val="20"/>
                <w:szCs w:val="20"/>
              </w:rPr>
              <w:t>ci prz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ez ogłoszenie w prasie lokalnej.</w:t>
            </w:r>
            <w:r w:rsidR="00A741AB">
              <w:t xml:space="preserve"> 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ciami przedmiotem zbycia może by ć nieruchomość lub jej części, jeśli wraz z dotychczas wydzieloną działką pod budynkiem będzie spełniać wymogi działki budowlanej.</w:t>
            </w:r>
          </w:p>
          <w:p w:rsidR="00A741AB" w:rsidRPr="00A741AB" w:rsidRDefault="00A741AB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Cenę nieruchomości ustala się w wysokości nie niższej niż jej wartość określona przez rzeczoznawcę majątkowego na zlecenie Gminy Brzeg.</w:t>
            </w:r>
          </w:p>
          <w:p w:rsidR="00A741AB" w:rsidRPr="00A741AB" w:rsidRDefault="00056C29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oddanie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w użytkowanie wieczyste pobiera się pierwszą opłatę i opłaty roczne. Opłaty z tytułu użytkowania wieczystego ustala się według stawki procentowe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od ceny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ci. Stawka procentowa pierwszej opłaty z tytułu użytkowania wieczystego wynosi od 15 % do 25 % ceny nieruchomości. Natomiast wysokość stawek procentowych opłat rocznych z tytułu użytkowania wieczystego jest uzależniona od określonego w umowie celu, na jaki nieruchomość gruntowa została oddana w użytkowanie wieczyste. Cena nieruchomości oraz pierwsza opłata, podlega zapłacie nie później niż do dnia zawarcia umowy w formie aktu notarialnego.</w:t>
            </w:r>
          </w:p>
          <w:p w:rsidR="00A741AB" w:rsidRPr="00A741AB" w:rsidRDefault="00056C29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sprzedawanej w drodze bezprzetargowej oraz pierwsz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opłata za oddanie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w użytkowanie wieczyste w drodze bezprzetargowej może zostać rozłożona na oprocentowane raty, na czas nie dłuższy niż 10 lat. Pierwsza rata, zarówno ceny jak i pierwszej opłaty, podlega zapłacie w takim terminie żeby należność wpłynęła na konto Urzędu nie później niż dzień przed datą zawarcia umowy notarialnej odpowiednio pr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zenoszącej własność nieruchomoś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czy ustanowienia prawa użytkowania wieczystego obejmująca kwotę pierwszej raty plus podatek VAT w aktualnie obo</w:t>
            </w:r>
            <w:r w:rsidR="0094119C">
              <w:rPr>
                <w:rFonts w:ascii="Times New Roman" w:hAnsi="Times New Roman" w:cs="Times New Roman"/>
                <w:sz w:val="20"/>
                <w:szCs w:val="20"/>
              </w:rPr>
              <w:t>wiązującej wysokoś</w:t>
            </w:r>
            <w:r w:rsidR="00A741AB" w:rsidRPr="00A741AB">
              <w:rPr>
                <w:rFonts w:ascii="Times New Roman" w:hAnsi="Times New Roman" w:cs="Times New Roman"/>
                <w:sz w:val="20"/>
                <w:szCs w:val="20"/>
              </w:rPr>
              <w:t>ci naliczony odpowiednio od ceny sprzedaży nieruchomości lub pierwszej opłaty oraz oprocentowania. Następne raty wraz z oprocentowaniem podlegają zapłacie w terminach ustalonych przez strony w umowie.</w:t>
            </w:r>
          </w:p>
          <w:p w:rsidR="007C628E" w:rsidRPr="00EA1DC6" w:rsidRDefault="00A741AB" w:rsidP="00A74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 xml:space="preserve">Zgodnie z przepisami 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ustawy o gospodarce nieruchomoś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ciami raty podlegają oprocentowaniu wg stopy redyskonta weksli stosowanej przez Narodowy Bank Polski. Wierzytelność Gminy Brzeg w stosunku do nabywcy z tytułu ratalnego sposobu zapłaty ceny sprzedaży nieruchomości lub pierwszej opłaty za ustanowienie prawa użytkowania wieczystego podle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ga zabezpieczeniu w szczególnoś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 przez ustanowienie hipoteki. Koszty związa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ne z przygotowaniem nieruchomoś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 gruntowej do zbycia, zawarciem umowy w formie aktu notarialnego oraz koszty wieczystoksięgowe ponoszą wnioskodawcy. Rozliczenie wniesionej wpłaty następuje na etapie podpisania protok</w:t>
            </w:r>
            <w:r w:rsidR="00056C29">
              <w:rPr>
                <w:rFonts w:ascii="Times New Roman" w:hAnsi="Times New Roman" w:cs="Times New Roman"/>
                <w:sz w:val="20"/>
                <w:szCs w:val="20"/>
              </w:rPr>
              <w:t>ołu warunków zbycia nieruchomoś</w:t>
            </w:r>
            <w:r w:rsidRPr="00A741AB">
              <w:rPr>
                <w:rFonts w:ascii="Times New Roman" w:hAnsi="Times New Roman" w:cs="Times New Roman"/>
                <w:sz w:val="20"/>
                <w:szCs w:val="20"/>
              </w:rPr>
              <w:t>ci.</w:t>
            </w:r>
          </w:p>
        </w:tc>
      </w:tr>
      <w:tr w:rsidR="00202C87" w:rsidTr="00166F92">
        <w:tc>
          <w:tcPr>
            <w:tcW w:w="3227" w:type="dxa"/>
          </w:tcPr>
          <w:p w:rsidR="00202C87" w:rsidRPr="00737C64" w:rsidRDefault="00202C87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7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Formularze do pobrania</w:t>
            </w:r>
          </w:p>
        </w:tc>
        <w:tc>
          <w:tcPr>
            <w:tcW w:w="5985" w:type="dxa"/>
          </w:tcPr>
          <w:p w:rsidR="00202C87" w:rsidRPr="00737C64" w:rsidRDefault="00202C87" w:rsidP="00271F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86" w:rsidTr="00167216">
        <w:trPr>
          <w:trHeight w:val="528"/>
        </w:trPr>
        <w:tc>
          <w:tcPr>
            <w:tcW w:w="3227" w:type="dxa"/>
          </w:tcPr>
          <w:p w:rsidR="00200086" w:rsidRPr="000F316A" w:rsidRDefault="00200086" w:rsidP="005A0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Osoba nadzorująca aktualność karty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Główny specjalista ds. obrotu nieruchomościami Gminy Brzeg - Dariusz Kałamuniak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następnej aktualizacji</w:t>
            </w:r>
          </w:p>
        </w:tc>
        <w:tc>
          <w:tcPr>
            <w:tcW w:w="5985" w:type="dxa"/>
          </w:tcPr>
          <w:p w:rsidR="00200086" w:rsidRPr="00200086" w:rsidRDefault="00166F92" w:rsidP="008C6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1861">
              <w:rPr>
                <w:rFonts w:ascii="Times New Roman" w:hAnsi="Times New Roman" w:cs="Times New Roman"/>
                <w:sz w:val="20"/>
                <w:szCs w:val="20"/>
              </w:rPr>
              <w:t>20-</w:t>
            </w:r>
            <w:r w:rsidR="008C6CC8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Opracował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Dariusz Kałamuniak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opracowania</w:t>
            </w:r>
          </w:p>
        </w:tc>
        <w:tc>
          <w:tcPr>
            <w:tcW w:w="5985" w:type="dxa"/>
          </w:tcPr>
          <w:p w:rsidR="00200086" w:rsidRPr="00200086" w:rsidRDefault="008C6CC8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Sprawdził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Dariusz Ka</w:t>
            </w:r>
            <w:r w:rsidR="0057262A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amuniak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sprawdzenia</w:t>
            </w:r>
          </w:p>
        </w:tc>
        <w:tc>
          <w:tcPr>
            <w:tcW w:w="5985" w:type="dxa"/>
          </w:tcPr>
          <w:p w:rsidR="00200086" w:rsidRPr="00200086" w:rsidRDefault="008C6CC8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Zatwierdził</w:t>
            </w:r>
          </w:p>
        </w:tc>
        <w:tc>
          <w:tcPr>
            <w:tcW w:w="5985" w:type="dxa"/>
          </w:tcPr>
          <w:p w:rsidR="00200086" w:rsidRPr="00200086" w:rsidRDefault="00200086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086">
              <w:rPr>
                <w:rFonts w:ascii="Times New Roman" w:hAnsi="Times New Roman" w:cs="Times New Roman"/>
                <w:sz w:val="20"/>
                <w:szCs w:val="20"/>
              </w:rPr>
              <w:t xml:space="preserve">Barbara </w:t>
            </w:r>
            <w:proofErr w:type="spellStart"/>
            <w:r w:rsidRPr="00200086">
              <w:rPr>
                <w:rFonts w:ascii="Times New Roman" w:hAnsi="Times New Roman" w:cs="Times New Roman"/>
                <w:sz w:val="20"/>
                <w:szCs w:val="20"/>
              </w:rPr>
              <w:t>Iwanowiec</w:t>
            </w:r>
            <w:proofErr w:type="spellEnd"/>
          </w:p>
        </w:tc>
      </w:tr>
      <w:tr w:rsidR="00200086" w:rsidTr="00166F92">
        <w:tc>
          <w:tcPr>
            <w:tcW w:w="3227" w:type="dxa"/>
          </w:tcPr>
          <w:p w:rsidR="00200086" w:rsidRPr="000F316A" w:rsidRDefault="00200086" w:rsidP="0092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16A">
              <w:rPr>
                <w:rFonts w:ascii="Times New Roman" w:hAnsi="Times New Roman" w:cs="Times New Roman"/>
                <w:sz w:val="20"/>
                <w:szCs w:val="20"/>
              </w:rPr>
              <w:t>Data zatwierdzenia</w:t>
            </w:r>
          </w:p>
        </w:tc>
        <w:tc>
          <w:tcPr>
            <w:tcW w:w="5985" w:type="dxa"/>
          </w:tcPr>
          <w:p w:rsidR="00200086" w:rsidRPr="00200086" w:rsidRDefault="008C6CC8" w:rsidP="00D93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2019-12-20</w:t>
            </w:r>
            <w:bookmarkStart w:id="0" w:name="_GoBack"/>
            <w:bookmarkEnd w:id="0"/>
          </w:p>
        </w:tc>
      </w:tr>
    </w:tbl>
    <w:p w:rsidR="00D506C0" w:rsidRDefault="00D506C0"/>
    <w:sectPr w:rsidR="00D506C0" w:rsidSect="0016721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0F"/>
    <w:rsid w:val="0002134D"/>
    <w:rsid w:val="000366D2"/>
    <w:rsid w:val="000513FD"/>
    <w:rsid w:val="00056C29"/>
    <w:rsid w:val="000F316A"/>
    <w:rsid w:val="001358C5"/>
    <w:rsid w:val="00166F92"/>
    <w:rsid w:val="00167216"/>
    <w:rsid w:val="00200086"/>
    <w:rsid w:val="00202C87"/>
    <w:rsid w:val="00225E74"/>
    <w:rsid w:val="0031020F"/>
    <w:rsid w:val="003526FE"/>
    <w:rsid w:val="003E47E0"/>
    <w:rsid w:val="0043746D"/>
    <w:rsid w:val="00462D3D"/>
    <w:rsid w:val="00564DB9"/>
    <w:rsid w:val="0057262A"/>
    <w:rsid w:val="00572BD3"/>
    <w:rsid w:val="00592CD1"/>
    <w:rsid w:val="005C447C"/>
    <w:rsid w:val="00632661"/>
    <w:rsid w:val="006727CE"/>
    <w:rsid w:val="00690C1A"/>
    <w:rsid w:val="006F3BFE"/>
    <w:rsid w:val="007117FE"/>
    <w:rsid w:val="0072359B"/>
    <w:rsid w:val="00731489"/>
    <w:rsid w:val="00737C64"/>
    <w:rsid w:val="007C628E"/>
    <w:rsid w:val="00802E12"/>
    <w:rsid w:val="00822BF1"/>
    <w:rsid w:val="0082511E"/>
    <w:rsid w:val="00847DC6"/>
    <w:rsid w:val="008670C9"/>
    <w:rsid w:val="0088425D"/>
    <w:rsid w:val="008A5167"/>
    <w:rsid w:val="008C6CC8"/>
    <w:rsid w:val="008D0C6C"/>
    <w:rsid w:val="008F0021"/>
    <w:rsid w:val="009111B8"/>
    <w:rsid w:val="0094119C"/>
    <w:rsid w:val="00987A51"/>
    <w:rsid w:val="009978A9"/>
    <w:rsid w:val="009C276C"/>
    <w:rsid w:val="00A03A3E"/>
    <w:rsid w:val="00A741AB"/>
    <w:rsid w:val="00AC72F1"/>
    <w:rsid w:val="00B018C4"/>
    <w:rsid w:val="00B52E8D"/>
    <w:rsid w:val="00B86675"/>
    <w:rsid w:val="00BC1CD7"/>
    <w:rsid w:val="00C347B6"/>
    <w:rsid w:val="00C47030"/>
    <w:rsid w:val="00C96043"/>
    <w:rsid w:val="00CA507C"/>
    <w:rsid w:val="00CA6644"/>
    <w:rsid w:val="00CD1101"/>
    <w:rsid w:val="00CD2A4E"/>
    <w:rsid w:val="00CD73C9"/>
    <w:rsid w:val="00CF06C7"/>
    <w:rsid w:val="00D01861"/>
    <w:rsid w:val="00D506C0"/>
    <w:rsid w:val="00DD148D"/>
    <w:rsid w:val="00DF1182"/>
    <w:rsid w:val="00E14D78"/>
    <w:rsid w:val="00EA1DC6"/>
    <w:rsid w:val="00EA2B20"/>
    <w:rsid w:val="00ED019B"/>
    <w:rsid w:val="00EE4AF4"/>
    <w:rsid w:val="00F32275"/>
    <w:rsid w:val="00F41701"/>
    <w:rsid w:val="00F5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E9EB"/>
  <w15:docId w15:val="{E7C2F097-B684-4B3E-B84C-1FB7BA3B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D50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D506C0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50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987A5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987A5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8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Kałamuniak</cp:lastModifiedBy>
  <cp:revision>7</cp:revision>
  <dcterms:created xsi:type="dcterms:W3CDTF">2019-11-21T12:03:00Z</dcterms:created>
  <dcterms:modified xsi:type="dcterms:W3CDTF">2019-12-20T07:56:00Z</dcterms:modified>
</cp:coreProperties>
</file>