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Default="009111B8" w:rsidP="00CD2A4E">
      <w:pPr>
        <w:jc w:val="center"/>
        <w:rPr>
          <w:rFonts w:ascii="Times New Roman" w:hAnsi="Times New Roman" w:cs="Times New Roman"/>
          <w:b/>
        </w:rPr>
      </w:pPr>
    </w:p>
    <w:p w:rsidR="00987A51" w:rsidRPr="00CD2A4E" w:rsidRDefault="00B86675" w:rsidP="00B866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B86675">
        <w:rPr>
          <w:rFonts w:ascii="Times New Roman" w:hAnsi="Times New Roman" w:cs="Times New Roman"/>
          <w:b/>
        </w:rPr>
        <w:t>BYWANIE NIERUCHOMOŚCI NA POPRAWIENIE WARUNKÓW ZAGOSPOD</w:t>
      </w:r>
      <w:r>
        <w:rPr>
          <w:rFonts w:ascii="Times New Roman" w:hAnsi="Times New Roman" w:cs="Times New Roman"/>
          <w:b/>
        </w:rPr>
        <w:t>AROWANIA NIERUCHOMOŚCI PRZYLEGŁ</w:t>
      </w:r>
      <w:r w:rsidRPr="00B86675">
        <w:rPr>
          <w:rFonts w:ascii="Times New Roman" w:hAnsi="Times New Roman" w:cs="Times New Roman"/>
          <w:b/>
        </w:rPr>
        <w:t>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2B5057" w:rsidTr="002B5057">
        <w:tc>
          <w:tcPr>
            <w:tcW w:w="3369" w:type="dxa"/>
          </w:tcPr>
          <w:p w:rsidR="002B5057" w:rsidRPr="00CF06C7" w:rsidRDefault="002B5057" w:rsidP="002B5057">
            <w:pPr>
              <w:rPr>
                <w:rFonts w:ascii="Times New Roman" w:hAnsi="Times New Roman" w:cs="Times New Roman"/>
                <w:b/>
              </w:rPr>
            </w:pPr>
            <w:r w:rsidRPr="00CF06C7">
              <w:rPr>
                <w:rFonts w:ascii="Times New Roman" w:hAnsi="Times New Roman" w:cs="Times New Roman"/>
                <w:b/>
              </w:rPr>
              <w:t xml:space="preserve">Nazwa procedury              </w:t>
            </w:r>
          </w:p>
        </w:tc>
        <w:tc>
          <w:tcPr>
            <w:tcW w:w="5843" w:type="dxa"/>
          </w:tcPr>
          <w:p w:rsidR="002B5057" w:rsidRPr="00CF06C7" w:rsidRDefault="002B5057" w:rsidP="00B86675">
            <w:pPr>
              <w:rPr>
                <w:rFonts w:ascii="Times New Roman" w:hAnsi="Times New Roman" w:cs="Times New Roman"/>
                <w:b/>
              </w:rPr>
            </w:pPr>
            <w:r w:rsidRPr="002B5057">
              <w:rPr>
                <w:rFonts w:ascii="Times New Roman" w:hAnsi="Times New Roman" w:cs="Times New Roman"/>
                <w:b/>
              </w:rPr>
              <w:t>Zbywanie nieruchomości na poprawienie warunków zagospodarowania nieruchomości przyległych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EA2B20" w:rsidRPr="00EA2B20" w:rsidRDefault="00EA2B20" w:rsidP="00EA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2B20">
              <w:rPr>
                <w:rFonts w:ascii="Times New Roman" w:hAnsi="Times New Roman" w:cs="Times New Roman"/>
                <w:sz w:val="20"/>
                <w:szCs w:val="20"/>
              </w:rPr>
              <w:t>Wniosek strony o nabycie na własność lub w użytkowanie wieczyste nieruchomości z przeznaczeniem na poprawienie warunków zagospodarow</w:t>
            </w:r>
            <w:r w:rsidR="00CA6644">
              <w:rPr>
                <w:rFonts w:ascii="Times New Roman" w:hAnsi="Times New Roman" w:cs="Times New Roman"/>
                <w:sz w:val="20"/>
                <w:szCs w:val="20"/>
              </w:rPr>
              <w:t>ania już posiadanej nieruchomoś</w:t>
            </w:r>
            <w:r w:rsidRPr="00EA2B20">
              <w:rPr>
                <w:rFonts w:ascii="Times New Roman" w:hAnsi="Times New Roman" w:cs="Times New Roman"/>
                <w:sz w:val="20"/>
                <w:szCs w:val="20"/>
              </w:rPr>
              <w:t>ci przyległej (macierzystej).</w:t>
            </w:r>
          </w:p>
          <w:p w:rsidR="00D506C0" w:rsidRPr="00D506C0" w:rsidRDefault="00EA2B20" w:rsidP="00EA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2B20">
              <w:rPr>
                <w:rFonts w:ascii="Times New Roman" w:hAnsi="Times New Roman" w:cs="Times New Roman"/>
                <w:sz w:val="20"/>
                <w:szCs w:val="20"/>
              </w:rPr>
              <w:t>1 egzemplarz mapy do celów opiniodawczych z zaznaczonymi granicami wnioskowanego terenu</w:t>
            </w:r>
            <w:r w:rsidR="006A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B20">
              <w:rPr>
                <w:rFonts w:ascii="Times New Roman" w:hAnsi="Times New Roman" w:cs="Times New Roman"/>
                <w:sz w:val="20"/>
                <w:szCs w:val="20"/>
              </w:rPr>
              <w:t xml:space="preserve"> (do nabycia w Wydziale Geodezji i Gospodarki Nieruchomościami Starostwa Powiatowego w Brzegu ul. Robotnicza 12, pokój 104, I piętro budynek B),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CA6644" w:rsidRPr="00CA6644" w:rsidRDefault="00CA6644" w:rsidP="00CA6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44">
              <w:rPr>
                <w:rFonts w:ascii="Times New Roman" w:hAnsi="Times New Roman" w:cs="Times New Roman"/>
                <w:sz w:val="20"/>
                <w:szCs w:val="20"/>
              </w:rPr>
              <w:t>Wniosek nie podlega opłacie skarbowej. Wnioskodawcę obciążają:</w:t>
            </w:r>
          </w:p>
          <w:p w:rsidR="00CA6644" w:rsidRPr="00CA6644" w:rsidRDefault="00CA6644" w:rsidP="00CA6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644">
              <w:rPr>
                <w:rFonts w:ascii="Times New Roman" w:hAnsi="Times New Roman" w:cs="Times New Roman"/>
                <w:sz w:val="20"/>
                <w:szCs w:val="20"/>
              </w:rPr>
              <w:t xml:space="preserve">koszty przygotowania </w:t>
            </w:r>
            <w:r w:rsidR="006A0124">
              <w:rPr>
                <w:rFonts w:ascii="Times New Roman" w:hAnsi="Times New Roman" w:cs="Times New Roman"/>
                <w:sz w:val="20"/>
                <w:szCs w:val="20"/>
              </w:rPr>
              <w:t>nieruchomoś</w:t>
            </w:r>
            <w:r w:rsidRPr="00CA6644">
              <w:rPr>
                <w:rFonts w:ascii="Times New Roman" w:hAnsi="Times New Roman" w:cs="Times New Roman"/>
                <w:sz w:val="20"/>
                <w:szCs w:val="20"/>
              </w:rPr>
              <w:t>ci do realizacji wniosku tj. koszty podziału jeżeli dot. zbycia części nieruchomości, którą trzeba wydzielić, koszty sporządzenia operatu szacunkowego przez rzeczoznawcę majątkowego ustalające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wartość zbywanej nieruchomoś</w:t>
            </w:r>
            <w:r w:rsidRPr="00CA6644">
              <w:rPr>
                <w:rFonts w:ascii="Times New Roman" w:hAnsi="Times New Roman" w:cs="Times New Roman"/>
                <w:sz w:val="20"/>
                <w:szCs w:val="20"/>
              </w:rPr>
              <w:t xml:space="preserve">ci, koszty sporządzenia wypisu i wyrysu z operatu ewidencyjnego koszt odpisu z </w:t>
            </w:r>
            <w:proofErr w:type="spellStart"/>
            <w:r w:rsidRPr="00CA6644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CA6644">
              <w:rPr>
                <w:rFonts w:ascii="Times New Roman" w:hAnsi="Times New Roman" w:cs="Times New Roman"/>
                <w:sz w:val="20"/>
                <w:szCs w:val="20"/>
              </w:rPr>
              <w:t>, na pokrycie których wnioskodawca zobowiązany jest dokonać wpłaty kwoty określonej w protokole z rokowań. Wpłacona kwota podlega rozliczeniu po realizacji wniosku.</w:t>
            </w:r>
          </w:p>
          <w:p w:rsidR="00CA6644" w:rsidRPr="00CA6644" w:rsidRDefault="00CA6644" w:rsidP="00CA6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644">
              <w:rPr>
                <w:rFonts w:ascii="Times New Roman" w:hAnsi="Times New Roman" w:cs="Times New Roman"/>
                <w:sz w:val="20"/>
                <w:szCs w:val="20"/>
              </w:rPr>
              <w:t>należności wynikające z przepisów prawa związane z daną transakcją podlegające opodatkowaniu podatkiem od towarów i usług,</w:t>
            </w:r>
          </w:p>
          <w:p w:rsidR="00D506C0" w:rsidRPr="00D506C0" w:rsidRDefault="00CA6644" w:rsidP="00CA6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644">
              <w:rPr>
                <w:rFonts w:ascii="Times New Roman" w:hAnsi="Times New Roman" w:cs="Times New Roman"/>
                <w:sz w:val="20"/>
                <w:szCs w:val="20"/>
              </w:rPr>
              <w:t>koszty zawarcia umowy w formie aktu notarialnego.</w:t>
            </w:r>
          </w:p>
        </w:tc>
      </w:tr>
      <w:tr w:rsidR="00572BD3" w:rsidTr="00D506C0">
        <w:tc>
          <w:tcPr>
            <w:tcW w:w="3369" w:type="dxa"/>
          </w:tcPr>
          <w:p w:rsidR="00572BD3" w:rsidRPr="00D506C0" w:rsidRDefault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572BD3" w:rsidRPr="00572BD3" w:rsidRDefault="00572BD3" w:rsidP="003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72BD3" w:rsidTr="00D506C0">
        <w:tc>
          <w:tcPr>
            <w:tcW w:w="3369" w:type="dxa"/>
          </w:tcPr>
          <w:p w:rsidR="00572BD3" w:rsidRPr="00D506C0" w:rsidRDefault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572BD3" w:rsidRPr="00572BD3" w:rsidRDefault="00572BD3" w:rsidP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Sposób załatwienia: zawarcie umowy w formie aktu notarialnego* Termin: minimum 6 miesięcy:</w:t>
            </w:r>
          </w:p>
          <w:p w:rsidR="00572BD3" w:rsidRPr="00572BD3" w:rsidRDefault="00572BD3" w:rsidP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-zarejestrowanie i przygotowanie wniosku do realizacji - do 14 dni,</w:t>
            </w:r>
          </w:p>
          <w:p w:rsidR="00572BD3" w:rsidRPr="00572BD3" w:rsidRDefault="00572BD3" w:rsidP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-uzyskanie opinii niezbędnych do realizacji wniosku i przedstawienie sprawy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decyzji właś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ciwego organu - 60 dni,</w:t>
            </w:r>
          </w:p>
          <w:p w:rsidR="00572BD3" w:rsidRPr="00572BD3" w:rsidRDefault="00572BD3" w:rsidP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-czynnoś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 xml:space="preserve">ci wynikające z przepisów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ciami zmierzające do realiza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cji wniosku (wycena nieruchomoś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ci, zarządzenie Burmistrza Brzegu i podanie do publicznej wiadomości wykazu, 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oszenie w prasie, informacja w BIP)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dni, w przypadku koniecznoś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ci dokonania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działu geodezyjnego nieruchomoś</w:t>
            </w: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ci dodatkowo około</w:t>
            </w:r>
          </w:p>
          <w:p w:rsidR="00572BD3" w:rsidRPr="00572BD3" w:rsidRDefault="00572BD3" w:rsidP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90 dni,</w:t>
            </w:r>
          </w:p>
          <w:p w:rsidR="00572BD3" w:rsidRPr="00572BD3" w:rsidRDefault="00572BD3" w:rsidP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-przygotowanie i podpisanie protokołu z rokowań stanowiącego podstawę do zawarcia umowy notarialnej kończącej realizację wniosku - 40 dni.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8F0021" w:rsidRPr="008F0021" w:rsidRDefault="008F0021" w:rsidP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21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8F0021" w:rsidP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21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od poniedziałku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8670C9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C9">
              <w:rPr>
                <w:rFonts w:ascii="Times New Roman" w:hAnsi="Times New Roman" w:cs="Times New Roman"/>
                <w:sz w:val="20"/>
                <w:szCs w:val="20"/>
              </w:rPr>
              <w:t>Wobec faktu, że sprawy zbywania nieruchomości są sprawami cywilno-prawnymi i do umowy dochodzi poprzez złożenie oświadczeń woli przez strony przed notariuszem, nie przewiduje się w tego typu sprawach trybu odwoławczego.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8670C9" w:rsidRPr="006434C1" w:rsidRDefault="008670C9" w:rsidP="00867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C1">
              <w:rPr>
                <w:rFonts w:ascii="Times New Roman" w:hAnsi="Times New Roman" w:cs="Times New Roman"/>
                <w:sz w:val="20"/>
                <w:szCs w:val="20"/>
              </w:rPr>
              <w:t>•Art. 37 ust. 2 pkt 6 ustawy z dnia 21 sierpnia 1997 r. o gospoda</w:t>
            </w:r>
            <w:r w:rsidR="006A0124" w:rsidRPr="006434C1">
              <w:rPr>
                <w:rFonts w:ascii="Times New Roman" w:hAnsi="Times New Roman" w:cs="Times New Roman"/>
                <w:sz w:val="20"/>
                <w:szCs w:val="20"/>
              </w:rPr>
              <w:t>rce nieruchomościami (Dz. U. z 2018 r. poz. 2204 ze zm.)</w:t>
            </w:r>
          </w:p>
          <w:p w:rsidR="007C628E" w:rsidRPr="006434C1" w:rsidRDefault="008670C9" w:rsidP="00867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C1">
              <w:rPr>
                <w:rFonts w:ascii="Times New Roman" w:hAnsi="Times New Roman" w:cs="Times New Roman"/>
                <w:sz w:val="20"/>
                <w:szCs w:val="20"/>
              </w:rPr>
              <w:t xml:space="preserve">•Uchwała Nr XXI/221/16 Rady Miejskiej Brzegu z dnia 28 czerwca 2016 r. w sprawie zasad nabywania, zbywania i obciążania nieruchomości Gminy Brzeg oraz ich wydzierżawiania lub najmu na </w:t>
            </w:r>
            <w:r w:rsidRPr="0064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okres dłuższy niż trzy lata (Dz. U. Woj. Opolskiego 2016 r. ,poz.1516).</w:t>
            </w:r>
          </w:p>
        </w:tc>
      </w:tr>
      <w:tr w:rsidR="007C628E" w:rsidTr="00BC1CD7">
        <w:trPr>
          <w:trHeight w:val="425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Dodatkowe informacje </w:t>
            </w:r>
          </w:p>
        </w:tc>
        <w:tc>
          <w:tcPr>
            <w:tcW w:w="5843" w:type="dxa"/>
          </w:tcPr>
          <w:p w:rsidR="00BC1CD7" w:rsidRPr="00BC1CD7" w:rsidRDefault="001358C5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Zasadą zbywania nieruchomoś</w:t>
            </w:r>
            <w:r w:rsidRPr="001358C5">
              <w:rPr>
                <w:rFonts w:ascii="Times New Roman" w:hAnsi="Times New Roman" w:cs="Times New Roman"/>
                <w:sz w:val="20"/>
                <w:szCs w:val="20"/>
              </w:rPr>
              <w:t>ci jest tryb przetargowy, od 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órego wyjątki są ściśle okreś</w:t>
            </w:r>
            <w:r w:rsidRPr="001358C5">
              <w:rPr>
                <w:rFonts w:ascii="Times New Roman" w:hAnsi="Times New Roman" w:cs="Times New Roman"/>
                <w:sz w:val="20"/>
                <w:szCs w:val="20"/>
              </w:rPr>
              <w:t>lone w ustawie o gospodarce nieruchomościami. Jednym z takich wyjątków jest zbycie nieruchomości w trybie bezprzetargowym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godnie z art.37 ust.2 pkt 6 usta</w:t>
            </w:r>
            <w:r w:rsidRPr="001358C5">
              <w:rPr>
                <w:rFonts w:ascii="Times New Roman" w:hAnsi="Times New Roman" w:cs="Times New Roman"/>
                <w:sz w:val="20"/>
                <w:szCs w:val="20"/>
              </w:rPr>
              <w:t>wy z dnia 21</w:t>
            </w:r>
            <w:r w:rsidR="00BC1CD7">
              <w:t xml:space="preserve"> </w:t>
            </w:r>
            <w:r w:rsidR="00BC1CD7"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sierpnia 1997r. 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 xml:space="preserve">o gospodarce nieruchomościami </w:t>
            </w:r>
            <w:r w:rsidR="006A0124" w:rsidRPr="006A0124">
              <w:rPr>
                <w:rFonts w:ascii="Times New Roman" w:hAnsi="Times New Roman" w:cs="Times New Roman"/>
                <w:sz w:val="20"/>
                <w:szCs w:val="20"/>
              </w:rPr>
              <w:t>(Dz. U. z 2018 r. poz. 2204 ze zm.)</w:t>
            </w:r>
            <w:r w:rsidR="00BC1CD7" w:rsidRPr="00BC1CD7">
              <w:rPr>
                <w:rFonts w:ascii="Times New Roman" w:hAnsi="Times New Roman" w:cs="Times New Roman"/>
                <w:sz w:val="20"/>
                <w:szCs w:val="20"/>
              </w:rPr>
              <w:t>na poprawę zagospodarowania sąsiedniej, przyległej nieruchomości.</w:t>
            </w:r>
          </w:p>
          <w:p w:rsidR="00BC1CD7" w:rsidRPr="00BC1CD7" w:rsidRDefault="00BC1CD7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Burmistrz Brzegu sporządza, a następnie podaje do publicznej wiadomości na 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>okres 21 dni wykazy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 przeznaczonych do sprzedaży, oddania w użytkowani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>e wieczyste. Wykazy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 wywieszane są na tablicy ogłoszeń w: Urzędzie Miasta w Brzegu -ul.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Robotnicza 12 oraz zamieszczane na stronie internetowej Urzędu www.brzeg.pl ( BIP) zakładka ogłoszenia.</w:t>
            </w:r>
          </w:p>
          <w:p w:rsidR="00BC1CD7" w:rsidRPr="00BC1CD7" w:rsidRDefault="00BC1CD7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Ponadto informacja o wywieszeniu wykazu podana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 xml:space="preserve"> zostaje do publicznej wiadomoś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 przez ogłoszenie w prasie lokalnej.</w:t>
            </w:r>
          </w:p>
          <w:p w:rsidR="00BC1CD7" w:rsidRPr="00BC1CD7" w:rsidRDefault="00BC1CD7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ciami przedmiotem zbycia może by ć nieruchomość lub jej części, jeśli mogą poprawić warun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>ki zagospodarowania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 przyległej, stanowiącej własność lub oddanej w użytkowanie wieczyste osobie, która zamierza tę nieruchomość lub jej części nabyć, jeżeli nie mogą być zagospodarowane jako odrębne nieruchomości.</w:t>
            </w:r>
          </w:p>
          <w:p w:rsidR="00BC1CD7" w:rsidRPr="00BC1CD7" w:rsidRDefault="00BC1CD7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Cenę nieruchomości ustala się w wysokości nie niższej niż jej wartość określona przez rzeczoznawcę majątkowego na zlecenie Gminy Brzeg.</w:t>
            </w:r>
          </w:p>
          <w:p w:rsidR="00BC1CD7" w:rsidRPr="00BC1CD7" w:rsidRDefault="00BC1CD7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Za oddanie nier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>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ci w użytkowanie wieczyste pobiera się pierwszą opłatę i opłaty roczne. Opłaty z tytułu użytkowania wieczystego ustala się według stawki </w:t>
            </w:r>
            <w:r w:rsidR="00E14D78">
              <w:rPr>
                <w:rFonts w:ascii="Times New Roman" w:hAnsi="Times New Roman" w:cs="Times New Roman"/>
                <w:sz w:val="20"/>
                <w:szCs w:val="20"/>
              </w:rPr>
              <w:t>procentowej od ceny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ci. Stawka procentowa pierwszej opłaty z tytułu użytkowania wieczystego wynosi od 15 % do 25 % ceny nieruchomości. Natomiast wysokość stawek procentowych opłat rocznych z tytułu użytkowania wieczystego jest uzależniona od określonego w umowie celu, na jaki nieruchomość gruntowa została oddana w użytkowanie wieczyste. Cena nieruchomości oraz pierwsza opłata, podlega zapłacie nie później niż do dnia zawarcia umowy w formie aktu notarialnego.</w:t>
            </w:r>
          </w:p>
          <w:p w:rsidR="00BC1CD7" w:rsidRPr="00BC1CD7" w:rsidRDefault="00802E12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nieruchomoś</w:t>
            </w:r>
            <w:r w:rsidR="00BC1CD7" w:rsidRPr="00BC1CD7">
              <w:rPr>
                <w:rFonts w:ascii="Times New Roman" w:hAnsi="Times New Roman" w:cs="Times New Roman"/>
                <w:sz w:val="20"/>
                <w:szCs w:val="20"/>
              </w:rPr>
              <w:t>ci sprzedawanej w drodze bezprzetargowej oraz pierwsz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opłata za oddanie nieruchomoś</w:t>
            </w:r>
            <w:r w:rsidR="00BC1CD7" w:rsidRPr="00BC1CD7">
              <w:rPr>
                <w:rFonts w:ascii="Times New Roman" w:hAnsi="Times New Roman" w:cs="Times New Roman"/>
                <w:sz w:val="20"/>
                <w:szCs w:val="20"/>
              </w:rPr>
              <w:t>ci w użytkowanie wieczyste w drodze bezprzetargowej może zostać rozłożona na oprocentowane raty, na czas nie dłuższy niż 10 lat. Pierwsza rata, zarówno ceny jak i pierwszej opłaty, podlega zapłacie w takim terminie żeby należność wpłynęła na konto Urzędu Miasta w Brzegu nie później niż dzień przed datą zawarcia umowy notarialnej odpowiednio przenoszącej własność nieruchom</w:t>
            </w:r>
            <w:r w:rsidR="00BC1CD7">
              <w:rPr>
                <w:rFonts w:ascii="Times New Roman" w:hAnsi="Times New Roman" w:cs="Times New Roman"/>
                <w:sz w:val="20"/>
                <w:szCs w:val="20"/>
              </w:rPr>
              <w:t>ości czy ustanowienia prawa uż</w:t>
            </w:r>
            <w:r w:rsidR="00BC1CD7"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ytkowania wieczystego obejmująca kwotę pierwszej raty plus podatek VAT w aktualnie obowiązującej wysokości naliczony odpowiednio od ceny sprzedaży nieruchomości lub pierwszej opłaty oraz oprocentowania. Następne raty wraz </w:t>
            </w:r>
            <w:r w:rsidR="00BC1CD7">
              <w:rPr>
                <w:rFonts w:ascii="Times New Roman" w:hAnsi="Times New Roman" w:cs="Times New Roman"/>
                <w:sz w:val="20"/>
                <w:szCs w:val="20"/>
              </w:rPr>
              <w:t>z oprocentowaniem podlegają zap</w:t>
            </w:r>
            <w:r w:rsidR="00BC1CD7" w:rsidRPr="00BC1CD7">
              <w:rPr>
                <w:rFonts w:ascii="Times New Roman" w:hAnsi="Times New Roman" w:cs="Times New Roman"/>
                <w:sz w:val="20"/>
                <w:szCs w:val="20"/>
              </w:rPr>
              <w:t>łacie w terminach ustalonych przez strony w umowie.</w:t>
            </w:r>
          </w:p>
          <w:p w:rsidR="007C628E" w:rsidRPr="00EA1DC6" w:rsidRDefault="00BC1CD7" w:rsidP="00BC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ciami raty podlegają oprocentowaniu wg stopy redyskonta weksli stosowanej przez Narodowy Bank Polski. Wierzytelność Gminy Brzeg w stosunku do nabywcy z tytułu ratalnego sposobu zapłaty ceny sprzedaży nieruchomości lub pierwszej opłaty za ustanowienie prawa użytkowania wieczystego podlega zabezpieczeniu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szczególnoś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>ci przez ustanowienie hipoteki. Koszty związa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z przygotowaniem nieruchomoś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t xml:space="preserve">ci gruntowej do zbycia, zawarciem umowy w formie aktu notarialnego oraz koszty wieczystoksięgowe </w:t>
            </w:r>
            <w:r w:rsidRPr="00BC1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ponoszą wnioskodawcy. Rozliczenie wniesionej wpłaty następuje na etapie podpisania protokołu warunków zbycia nieruchomoś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86" w:rsidTr="00737C64">
        <w:trPr>
          <w:trHeight w:val="707"/>
        </w:trPr>
        <w:tc>
          <w:tcPr>
            <w:tcW w:w="3369" w:type="dxa"/>
          </w:tcPr>
          <w:p w:rsidR="00200086" w:rsidRPr="000F316A" w:rsidRDefault="00200086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ds. obrotu nieruchomościami Gminy Brzeg - Dariusz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200086" w:rsidRPr="00200086" w:rsidRDefault="006434C1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  <w:bookmarkStart w:id="0" w:name="_GoBack"/>
            <w:bookmarkEnd w:id="0"/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200086" w:rsidRPr="00200086" w:rsidRDefault="006434C1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Kaamuniak</w:t>
            </w:r>
            <w:proofErr w:type="spellEnd"/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200086" w:rsidRPr="00200086" w:rsidRDefault="006434C1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200086" w:rsidTr="00D506C0">
        <w:tc>
          <w:tcPr>
            <w:tcW w:w="3369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200086" w:rsidRPr="00200086" w:rsidRDefault="006434C1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F316A"/>
    <w:rsid w:val="001358C5"/>
    <w:rsid w:val="00200086"/>
    <w:rsid w:val="00202C87"/>
    <w:rsid w:val="00225E74"/>
    <w:rsid w:val="002B5057"/>
    <w:rsid w:val="0031020F"/>
    <w:rsid w:val="003526FE"/>
    <w:rsid w:val="00462D3D"/>
    <w:rsid w:val="00564DB9"/>
    <w:rsid w:val="00572BD3"/>
    <w:rsid w:val="00592CD1"/>
    <w:rsid w:val="00632661"/>
    <w:rsid w:val="006434C1"/>
    <w:rsid w:val="006727CE"/>
    <w:rsid w:val="006A0124"/>
    <w:rsid w:val="006F3BFE"/>
    <w:rsid w:val="007117FE"/>
    <w:rsid w:val="0072359B"/>
    <w:rsid w:val="00731489"/>
    <w:rsid w:val="00737C64"/>
    <w:rsid w:val="007C628E"/>
    <w:rsid w:val="00802E12"/>
    <w:rsid w:val="00847DC6"/>
    <w:rsid w:val="008670C9"/>
    <w:rsid w:val="0088425D"/>
    <w:rsid w:val="008A5167"/>
    <w:rsid w:val="008D0C6C"/>
    <w:rsid w:val="008F0021"/>
    <w:rsid w:val="009111B8"/>
    <w:rsid w:val="00987A51"/>
    <w:rsid w:val="009978A9"/>
    <w:rsid w:val="009C276C"/>
    <w:rsid w:val="00A03A3E"/>
    <w:rsid w:val="00AC72F1"/>
    <w:rsid w:val="00B86675"/>
    <w:rsid w:val="00BC1CD7"/>
    <w:rsid w:val="00C347B6"/>
    <w:rsid w:val="00C47030"/>
    <w:rsid w:val="00CA507C"/>
    <w:rsid w:val="00CA6644"/>
    <w:rsid w:val="00CD1101"/>
    <w:rsid w:val="00CD2A4E"/>
    <w:rsid w:val="00CF06C7"/>
    <w:rsid w:val="00D506C0"/>
    <w:rsid w:val="00D876DC"/>
    <w:rsid w:val="00DF1182"/>
    <w:rsid w:val="00E14D78"/>
    <w:rsid w:val="00EA1DC6"/>
    <w:rsid w:val="00EA2B20"/>
    <w:rsid w:val="00F32275"/>
    <w:rsid w:val="00F41701"/>
    <w:rsid w:val="00F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09F"/>
  <w15:docId w15:val="{463DF3AF-C851-4411-A920-C35F00DF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Jasińska</cp:lastModifiedBy>
  <cp:revision>3</cp:revision>
  <dcterms:created xsi:type="dcterms:W3CDTF">2019-01-07T11:53:00Z</dcterms:created>
  <dcterms:modified xsi:type="dcterms:W3CDTF">2019-01-10T08:56:00Z</dcterms:modified>
</cp:coreProperties>
</file>