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C" w:rsidRDefault="00D85A7C" w:rsidP="00D85A7C">
      <w:pPr>
        <w:pStyle w:val="Tytu"/>
      </w:pPr>
      <w:r>
        <w:t>Protokół Nr 35 /2017</w:t>
      </w:r>
    </w:p>
    <w:p w:rsidR="008E44A5" w:rsidRDefault="008E44A5" w:rsidP="008E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="00D85A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Komisji Komunalnej, </w:t>
      </w:r>
    </w:p>
    <w:p w:rsidR="00D85A7C" w:rsidRDefault="00D85A7C" w:rsidP="008E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Mieszkaniowej i Ochrony Środowiska</w:t>
      </w:r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18.10.2017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14.00 – 15.20</w:t>
      </w:r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D85A7C" w:rsidRDefault="00197D4E" w:rsidP="00197D4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Temat posiedzenia:</w:t>
      </w:r>
    </w:p>
    <w:p w:rsidR="00197D4E" w:rsidRPr="00D85A7C" w:rsidRDefault="00197D4E" w:rsidP="00197D4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197D4E" w:rsidRDefault="00197D4E" w:rsidP="00197D4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7D4E">
        <w:rPr>
          <w:rFonts w:ascii="Times New Roman" w:hAnsi="Times New Roman" w:cs="Times New Roman"/>
          <w:sz w:val="24"/>
          <w:szCs w:val="24"/>
        </w:rPr>
        <w:t xml:space="preserve">mówieniu projektu uchwały w sprawie określenia szczegółowych zasad, sposobu i trybu udzielania ulg w spłacie należności pieniężnych mających charakter cywilnoprawny, przypadający Gminie Brzeg lub jej jednostkom budżetowym i samorządowym jednostkom kultury oraz warunków dopuszczalności pomocy publicznej w przypadkach, w których ulga stanowić będzie pomoc publiczną. </w:t>
      </w:r>
    </w:p>
    <w:p w:rsidR="00A064DE" w:rsidRPr="00197D4E" w:rsidRDefault="000623F5" w:rsidP="00197D4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skargami</w:t>
      </w:r>
      <w:r w:rsidR="00A064DE">
        <w:rPr>
          <w:rFonts w:ascii="Times New Roman" w:hAnsi="Times New Roman" w:cs="Times New Roman"/>
          <w:sz w:val="24"/>
          <w:szCs w:val="24"/>
        </w:rPr>
        <w:t>.</w:t>
      </w:r>
    </w:p>
    <w:p w:rsidR="00197D4E" w:rsidRDefault="00197D4E" w:rsidP="00197D4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85A7C" w:rsidRPr="00197D4E" w:rsidRDefault="00197D4E" w:rsidP="00197D4E">
      <w:pPr>
        <w:pStyle w:val="Tekstpodstawowywcity"/>
      </w:pPr>
      <w:r w:rsidRPr="00197D4E">
        <w:t xml:space="preserve">Projekt </w:t>
      </w:r>
      <w:r>
        <w:t xml:space="preserve">uchwały </w:t>
      </w:r>
      <w:r w:rsidR="00B1597F">
        <w:t>omówiła Pani Katarzyna</w:t>
      </w:r>
      <w:r w:rsidRPr="00197D4E">
        <w:t xml:space="preserve"> Szczepanik</w:t>
      </w:r>
      <w:r>
        <w:t xml:space="preserve"> dodając, że cel spotkania jest uwzględniony w uzasadnieniu projektu uchwały stanowiący załącznik do protokołu.</w:t>
      </w:r>
    </w:p>
    <w:p w:rsidR="00D85A7C" w:rsidRDefault="00B83AA2" w:rsidP="0077790C">
      <w:pPr>
        <w:pStyle w:val="Tekstpodstawowywcity"/>
      </w:pPr>
      <w:r>
        <w:t xml:space="preserve">Pani Monika Kwiatek z ZNM wyjaśniła, że w tym projekcie zaproponowali następujące zmiany, a mianowicie w § 10 dostosowując zapisy prawa miejscowego do ustawy o finansach publicznych. Ustawodawca wprowadził jednolite regulacje umożliwiające </w:t>
      </w:r>
      <w:r w:rsidR="00384F4C">
        <w:t xml:space="preserve">niedochodzenie jednostkom </w:t>
      </w:r>
      <w:proofErr w:type="spellStart"/>
      <w:r w:rsidR="00384F4C">
        <w:t>jst</w:t>
      </w:r>
      <w:proofErr w:type="spellEnd"/>
      <w:r w:rsidR="00384F4C">
        <w:t xml:space="preserve"> i jednostkom organizacyjnym </w:t>
      </w:r>
      <w:r w:rsidR="00861264">
        <w:t xml:space="preserve">drobnych należności o charakterze </w:t>
      </w:r>
      <w:r w:rsidR="00C560B7">
        <w:t xml:space="preserve">cywilnoprawnym </w:t>
      </w:r>
      <w:proofErr w:type="spellStart"/>
      <w:r w:rsidR="00C560B7">
        <w:t>tj</w:t>
      </w:r>
      <w:proofErr w:type="spellEnd"/>
      <w:r w:rsidR="00C560B7">
        <w:t xml:space="preserve"> takich, których kwota wraz z odsetkami nie przekracza 100 zł. Istotą tej regulacji jest możliwość podjęcia przez organ stanowiący uchwały o charakterze generalnym. Za wprowadzeniem tej regulacji przemawia fakt, iż dochodzenie małych kwotowo należności może okazać się nie racjonalne w szczególności, gdy koszty postepowania przekraczają dochodzone kwoty. Kolejno dodała, że zaszła również konieczność dostosowania uchwały w zakresie udzielania ulg na wniosek dłużnika. Wyjaśniła, że w czasie tych 4 lat obowiązywania obecnej uchwały wyszły problemy ewidencyjne, a także spójności z innymi przepisami jak ustawa o finansach publicznych czy </w:t>
      </w:r>
      <w:proofErr w:type="gramStart"/>
      <w:r w:rsidR="00C560B7">
        <w:t>kpa</w:t>
      </w:r>
      <w:proofErr w:type="gramEnd"/>
      <w:r w:rsidR="00C560B7">
        <w:t xml:space="preserve"> oraz ustawy o</w:t>
      </w:r>
      <w:r w:rsidR="00A9759A">
        <w:t xml:space="preserve"> naruszeniu dyscypliny finansów. W związku z tym w § 3 proponują zmiany. Kolejno odczytała ten zapis stwierdzając, że zmiana polega na solidarności dłużników, co do spłaty.</w:t>
      </w:r>
    </w:p>
    <w:p w:rsidR="009A3305" w:rsidRPr="003E726D" w:rsidRDefault="009A3305" w:rsidP="003E726D">
      <w:pPr>
        <w:pStyle w:val="Tekstpodstawowywcity"/>
        <w:rPr>
          <w:rFonts w:eastAsiaTheme="minorHAnsi"/>
          <w:noProof/>
          <w:lang w:eastAsia="en-US"/>
        </w:rPr>
      </w:pPr>
      <w:r w:rsidRPr="003E726D">
        <w:rPr>
          <w:rFonts w:eastAsiaTheme="minorHAnsi"/>
          <w:noProof/>
          <w:lang w:eastAsia="en-US"/>
        </w:rPr>
        <w:t xml:space="preserve">Pani Katarzyna Szczepanik dodała, że również może dojść do sytuacji, że nie będzie można </w:t>
      </w:r>
      <w:r w:rsidR="00274201" w:rsidRPr="003E726D">
        <w:rPr>
          <w:rFonts w:eastAsiaTheme="minorHAnsi"/>
          <w:noProof/>
          <w:lang w:eastAsia="en-US"/>
        </w:rPr>
        <w:t>znależć tego współdłuż</w:t>
      </w:r>
      <w:r w:rsidRPr="003E726D">
        <w:rPr>
          <w:rFonts w:eastAsiaTheme="minorHAnsi"/>
          <w:noProof/>
          <w:lang w:eastAsia="en-US"/>
        </w:rPr>
        <w:t xml:space="preserve">nika </w:t>
      </w:r>
      <w:r w:rsidR="00274201" w:rsidRPr="003E726D">
        <w:rPr>
          <w:rFonts w:eastAsiaTheme="minorHAnsi"/>
          <w:noProof/>
          <w:lang w:eastAsia="en-US"/>
        </w:rPr>
        <w:t>i będzie problem.</w:t>
      </w:r>
    </w:p>
    <w:p w:rsidR="00E03274" w:rsidRDefault="002A05C3" w:rsidP="003E726D">
      <w:pPr>
        <w:pStyle w:val="Tekstpodstawowywcity"/>
      </w:pPr>
      <w:r>
        <w:t>Pani Monika Kwiatek z ZNM wyjaśniła, że uchwała wskazuje dokładnie, przesłanki do udzielenia ulgi</w:t>
      </w:r>
      <w:r w:rsidR="0077790C">
        <w:t xml:space="preserve">. W związku, z czym dłużnik będzie musiał dołożyć starań ubiegając się o ulgę, aby wszystkie wymagane dokumenty, oświadczenia i uzasadnienie znalazły się w tym wniosku. Kolejna zmiana to bardziej dostosowanie do przepisów kodeksu cywilnego, bo jak wiadomo okres przedawnienia należności okresowych niezasądzonych tj. w tej chwili 3 lata, więc 36 miesięcy. W obecnej uchwale jest dopuszczenie rozłożenia długu na okres nie dłuższy niż 60 miesięcy, czyli 5 lat. Dodała, że praktyka wykazała, iż </w:t>
      </w:r>
      <w:r w:rsidR="005F22BB">
        <w:t xml:space="preserve">dalsze </w:t>
      </w:r>
      <w:r w:rsidR="003E726D">
        <w:t>pójście</w:t>
      </w:r>
      <w:r w:rsidR="005F22BB">
        <w:t xml:space="preserve"> w tą stronę ryzykują przedawnieniem </w:t>
      </w:r>
      <w:r w:rsidR="003E726D">
        <w:t>należności.</w:t>
      </w:r>
    </w:p>
    <w:p w:rsidR="003E726D" w:rsidRP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wskazał, że </w:t>
      </w:r>
      <w:r w:rsidRPr="003E726D">
        <w:rPr>
          <w:rFonts w:ascii="Times New Roman" w:hAnsi="Times New Roman" w:cs="Times New Roman"/>
          <w:sz w:val="24"/>
          <w:szCs w:val="24"/>
        </w:rPr>
        <w:t>§ 7 ust. 2 mówi również o odroczeniu terminu spłaty należności pieniężnych na okres nie dłuższy niż 12 miesięcy 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ten zapis pozostaje ponieważ jest to inna ulga.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Eugeniusz Zwierzchowski zapytał, czy nie można byłoby tego skrócić czyli zmienić? Powiedził, że należałoby się nad tym zastanowić ? Kolejno zapytał,</w:t>
      </w:r>
      <w:r w:rsidR="001E6654">
        <w:rPr>
          <w:rFonts w:ascii="Times New Roman" w:hAnsi="Times New Roman" w:cs="Times New Roman"/>
          <w:sz w:val="24"/>
          <w:szCs w:val="24"/>
        </w:rPr>
        <w:t xml:space="preserve"> czy te rozwiązania z poprzednich</w:t>
      </w:r>
      <w:r>
        <w:rPr>
          <w:rFonts w:ascii="Times New Roman" w:hAnsi="Times New Roman" w:cs="Times New Roman"/>
          <w:sz w:val="24"/>
          <w:szCs w:val="24"/>
        </w:rPr>
        <w:t xml:space="preserve"> lat jednak funkcj</w:t>
      </w:r>
      <w:r w:rsidR="001E6654">
        <w:rPr>
          <w:rFonts w:ascii="Times New Roman" w:hAnsi="Times New Roman" w:cs="Times New Roman"/>
          <w:sz w:val="24"/>
          <w:szCs w:val="24"/>
        </w:rPr>
        <w:t xml:space="preserve">onowały dobrze? </w:t>
      </w:r>
      <w:r>
        <w:rPr>
          <w:rFonts w:ascii="Times New Roman" w:hAnsi="Times New Roman" w:cs="Times New Roman"/>
          <w:sz w:val="24"/>
          <w:szCs w:val="24"/>
        </w:rPr>
        <w:t>czy były jednak zawirowania w tym kierunku.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idealnego rozwiązania nie ma. Poprzedia uchwała</w:t>
      </w:r>
      <w:r w:rsidR="00C44C1E">
        <w:rPr>
          <w:rFonts w:ascii="Times New Roman" w:hAnsi="Times New Roman" w:cs="Times New Roman"/>
          <w:sz w:val="24"/>
          <w:szCs w:val="24"/>
        </w:rPr>
        <w:t xml:space="preserve"> podjeta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1E">
        <w:rPr>
          <w:rFonts w:ascii="Times New Roman" w:hAnsi="Times New Roman" w:cs="Times New Roman"/>
          <w:sz w:val="24"/>
          <w:szCs w:val="24"/>
        </w:rPr>
        <w:t xml:space="preserve">przed 2014 rokiem spowodowała zmiany polegajace na dłuższym okresie </w:t>
      </w:r>
      <w:r w:rsidR="00C44C1E">
        <w:rPr>
          <w:rFonts w:ascii="Times New Roman" w:hAnsi="Times New Roman" w:cs="Times New Roman"/>
          <w:sz w:val="24"/>
          <w:szCs w:val="24"/>
        </w:rPr>
        <w:lastRenderedPageBreak/>
        <w:t>rozłożeniu na raty. To powodowało, że dłużnicy nie mieli możliwości płatniczych do spłaty zadłużenia w ratach, wówczs był to okres 36 miesięcy i były problemy. Następnie zostało to zwiększone do 60 miesięcy, ale niestety okazuję się po tych 4 latach, że ZNM ryzykuje przedawnieniem tych należności.</w:t>
      </w:r>
    </w:p>
    <w:p w:rsidR="00092FA8" w:rsidRDefault="00092FA8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obawia się tego, iż zamiast rozkładać na raty Gmina będzie umarzać, bo dłużnicy nie będą wstanie w ciągu 30 mies</w:t>
      </w:r>
      <w:r w:rsidR="008A29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ięcy spłacić swojego zadłużenia.</w:t>
      </w:r>
    </w:p>
    <w:p w:rsidR="008A29D2" w:rsidRDefault="008A29D2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zawsze mogą zwrócić się o częściowe rozłożenie na raty.</w:t>
      </w:r>
    </w:p>
    <w:p w:rsidR="008A29D2" w:rsidRDefault="008A29D2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</w:t>
      </w:r>
      <w:r w:rsidR="001E66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T. Witkowski dodał, że analizując z burmistrzem zapisy tej uchwały bral</w:t>
      </w:r>
      <w:r w:rsidR="001E6654">
        <w:rPr>
          <w:rFonts w:ascii="Times New Roman" w:hAnsi="Times New Roman" w:cs="Times New Roman"/>
          <w:sz w:val="24"/>
          <w:szCs w:val="24"/>
        </w:rPr>
        <w:t>i pod uwagę przede wszystkim moż</w:t>
      </w:r>
      <w:r>
        <w:rPr>
          <w:rFonts w:ascii="Times New Roman" w:hAnsi="Times New Roman" w:cs="Times New Roman"/>
          <w:sz w:val="24"/>
          <w:szCs w:val="24"/>
        </w:rPr>
        <w:t>liwości płat</w:t>
      </w:r>
      <w:r w:rsidR="00D50881">
        <w:rPr>
          <w:rFonts w:ascii="Times New Roman" w:hAnsi="Times New Roman" w:cs="Times New Roman"/>
          <w:sz w:val="24"/>
          <w:szCs w:val="24"/>
        </w:rPr>
        <w:t>nicze . W wielu przypadkach, które traf</w:t>
      </w:r>
      <w:r w:rsidR="001E6654">
        <w:rPr>
          <w:rFonts w:ascii="Times New Roman" w:hAnsi="Times New Roman" w:cs="Times New Roman"/>
          <w:sz w:val="24"/>
          <w:szCs w:val="24"/>
        </w:rPr>
        <w:t xml:space="preserve">iały do Rady w formie uchwał </w:t>
      </w:r>
      <w:r w:rsidR="00D50881">
        <w:rPr>
          <w:rFonts w:ascii="Times New Roman" w:hAnsi="Times New Roman" w:cs="Times New Roman"/>
          <w:sz w:val="24"/>
          <w:szCs w:val="24"/>
        </w:rPr>
        <w:t>już było tak, że te sprawy były na granicy nawet przy rozłożeniu na 60 rat. Dodał, że w chwili obecnej przemawia kwestia legalizmu tej uchwały i tego żeby nie narazić się na zarzuty związane z dopuszczenie</w:t>
      </w:r>
      <w:r w:rsidR="001E6654">
        <w:rPr>
          <w:rFonts w:ascii="Times New Roman" w:hAnsi="Times New Roman" w:cs="Times New Roman"/>
          <w:sz w:val="24"/>
          <w:szCs w:val="24"/>
        </w:rPr>
        <w:t>m do przetermnowania</w:t>
      </w:r>
      <w:r w:rsidR="008C7D34">
        <w:rPr>
          <w:rFonts w:ascii="Times New Roman" w:hAnsi="Times New Roman" w:cs="Times New Roman"/>
          <w:sz w:val="24"/>
          <w:szCs w:val="24"/>
        </w:rPr>
        <w:t>. W zwią</w:t>
      </w:r>
      <w:r w:rsidR="00D50881">
        <w:rPr>
          <w:rFonts w:ascii="Times New Roman" w:hAnsi="Times New Roman" w:cs="Times New Roman"/>
          <w:sz w:val="24"/>
          <w:szCs w:val="24"/>
        </w:rPr>
        <w:t xml:space="preserve">zku z tym kierowali się zdaniem ZNM i te 30 miesięcy ma o tyle uzasadnienie logiczne, że pozostanie ZNM pól roku na domknięcie sprawy z dłużnikiem i ewentualne skierowanie sprawy na drogę postępowania </w:t>
      </w:r>
      <w:r w:rsidR="008C7D34">
        <w:rPr>
          <w:rFonts w:ascii="Times New Roman" w:hAnsi="Times New Roman" w:cs="Times New Roman"/>
          <w:sz w:val="24"/>
          <w:szCs w:val="24"/>
        </w:rPr>
        <w:t xml:space="preserve">sądowego. Dodał, że zdarza się tak, że ugody, które są zawierane z dłużnikiem nie są realizowane do końca i pewnie w przypadku tej zmiany tak będzie. Intensyfikacja tych kwestii i systematycznosć składania wniosków o wydanie nakazu zapłaty powoduje, że w stosunku do tych należności, które w tej chwili gdzieś tam powstają, które jeszcze nie są zaszłościami mają o tyle lepsze zabezpieczenia, które pozwalają na skierowanie sprawy na drogę postępowania sądowego tych najstarszych należności ponieważ na nich jest już nakaz zapłaty. </w:t>
      </w:r>
    </w:p>
    <w:p w:rsidR="008C7D34" w:rsidRDefault="008C7D34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ten zapis sprawdzi się wtedy, kiedy ZNM będzie szybko reagował.</w:t>
      </w:r>
    </w:p>
    <w:p w:rsidR="003A025E" w:rsidRDefault="003A025E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3A0F0F">
        <w:rPr>
          <w:rFonts w:ascii="Times New Roman" w:hAnsi="Times New Roman" w:cs="Times New Roman"/>
          <w:sz w:val="24"/>
          <w:szCs w:val="24"/>
        </w:rPr>
        <w:t xml:space="preserve"> jest też</w:t>
      </w:r>
      <w:r>
        <w:rPr>
          <w:rFonts w:ascii="Times New Roman" w:hAnsi="Times New Roman" w:cs="Times New Roman"/>
          <w:sz w:val="24"/>
          <w:szCs w:val="24"/>
        </w:rPr>
        <w:t xml:space="preserve"> moż</w:t>
      </w:r>
      <w:r w:rsidR="003A0F0F">
        <w:rPr>
          <w:rFonts w:ascii="Times New Roman" w:hAnsi="Times New Roman" w:cs="Times New Roman"/>
          <w:sz w:val="24"/>
          <w:szCs w:val="24"/>
        </w:rPr>
        <w:t>liwość</w:t>
      </w:r>
      <w:r>
        <w:rPr>
          <w:rFonts w:ascii="Times New Roman" w:hAnsi="Times New Roman" w:cs="Times New Roman"/>
          <w:sz w:val="24"/>
          <w:szCs w:val="24"/>
        </w:rPr>
        <w:t xml:space="preserve"> odpracowania długu.</w:t>
      </w:r>
    </w:p>
    <w:p w:rsidR="003A025E" w:rsidRDefault="003A025E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Samul zapytał, jaka to jest skala jeśli chodzi o odpracowanie?</w:t>
      </w:r>
    </w:p>
    <w:p w:rsidR="003A025E" w:rsidRDefault="00A70FB4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w zeszłym roku około 60 osób. Najczęściej są to gońcy, albo ci ludzie pracują na cmentarzu.</w:t>
      </w:r>
    </w:p>
    <w:p w:rsidR="003A0F0F" w:rsidRDefault="003A0F0F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Karina Jarząbek dodała, że jeśli ta możliwość skróciłaby się do 30 rat to nie koniecznie spowodowałoby</w:t>
      </w:r>
      <w:r w:rsidR="001E6654">
        <w:rPr>
          <w:rFonts w:ascii="Times New Roman" w:hAnsi="Times New Roman" w:cs="Times New Roman"/>
          <w:sz w:val="24"/>
          <w:szCs w:val="24"/>
        </w:rPr>
        <w:t xml:space="preserve"> to napływ wniosków o umorzenie, </w:t>
      </w:r>
      <w:r>
        <w:rPr>
          <w:rFonts w:ascii="Times New Roman" w:hAnsi="Times New Roman" w:cs="Times New Roman"/>
          <w:sz w:val="24"/>
          <w:szCs w:val="24"/>
        </w:rPr>
        <w:t>bo musi być do tego podstawa. A osoby, które fizycznie przychodzą do ZNM i pobierają te wnioski będą informowane o tym ,że jeżeli te dochody nie pozwal</w:t>
      </w:r>
      <w:r w:rsidR="009501BE">
        <w:rPr>
          <w:rFonts w:ascii="Times New Roman" w:hAnsi="Times New Roman" w:cs="Times New Roman"/>
          <w:sz w:val="24"/>
          <w:szCs w:val="24"/>
        </w:rPr>
        <w:t>ają na rozłożenie na raty takiej</w:t>
      </w:r>
      <w:r>
        <w:rPr>
          <w:rFonts w:ascii="Times New Roman" w:hAnsi="Times New Roman" w:cs="Times New Roman"/>
          <w:sz w:val="24"/>
          <w:szCs w:val="24"/>
        </w:rPr>
        <w:t xml:space="preserve"> dużej kwoty to </w:t>
      </w:r>
      <w:r w:rsidR="001E6654">
        <w:rPr>
          <w:rFonts w:ascii="Times New Roman" w:hAnsi="Times New Roman" w:cs="Times New Roman"/>
          <w:sz w:val="24"/>
          <w:szCs w:val="24"/>
        </w:rPr>
        <w:t>należy wziąć z</w:t>
      </w:r>
      <w:r>
        <w:rPr>
          <w:rFonts w:ascii="Times New Roman" w:hAnsi="Times New Roman" w:cs="Times New Roman"/>
          <w:sz w:val="24"/>
          <w:szCs w:val="24"/>
        </w:rPr>
        <w:t xml:space="preserve"> tego </w:t>
      </w:r>
      <w:r w:rsidR="001E6654">
        <w:rPr>
          <w:rFonts w:ascii="Times New Roman" w:hAnsi="Times New Roman" w:cs="Times New Roman"/>
          <w:sz w:val="24"/>
          <w:szCs w:val="24"/>
        </w:rPr>
        <w:t xml:space="preserve">długu </w:t>
      </w:r>
      <w:r>
        <w:rPr>
          <w:rFonts w:ascii="Times New Roman" w:hAnsi="Times New Roman" w:cs="Times New Roman"/>
          <w:sz w:val="24"/>
          <w:szCs w:val="24"/>
        </w:rPr>
        <w:t xml:space="preserve">1/4 </w:t>
      </w:r>
      <w:r w:rsidR="009501BE">
        <w:rPr>
          <w:rFonts w:ascii="Times New Roman" w:hAnsi="Times New Roman" w:cs="Times New Roman"/>
          <w:sz w:val="24"/>
          <w:szCs w:val="24"/>
        </w:rPr>
        <w:t xml:space="preserve">i w ten sposób zamierzają to załatwiać. </w:t>
      </w:r>
    </w:p>
    <w:p w:rsidR="009501BE" w:rsidRDefault="009501BE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powinien być taki zapis, że osoba, która otrzymała ulgę w postaci umorzenia </w:t>
      </w:r>
      <w:r w:rsidR="0064218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może ubiegać się o wykup lokalu np. przez jakiś okres. Poprosił, aby zastanowić się nad takim punktem, ponieważ ułatwiłoby to pracę komisji.</w:t>
      </w:r>
    </w:p>
    <w:p w:rsidR="00B1597F" w:rsidRDefault="00B1597F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Marcin Samul </w:t>
      </w:r>
      <w:r w:rsidR="001E66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zwrócił uwagę na § 5 </w:t>
      </w:r>
      <w:proofErr w:type="gramStart"/>
      <w:r w:rsidR="001E66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pkt. 2 który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mówi, jakie dokumenty należy złożyć do wniosku w zakresie ulgi. Stwierdził, że zamiast zaświadczania z pracy z ostatnich 3 miesięcy również powinien być dokument z Urzędu Skarbowego, czyli zeznanie podatkowe. Stwierdził, że zaświadczenie z pracy często nie wykazuje do końca prawdy.</w:t>
      </w:r>
    </w:p>
    <w:p w:rsidR="00B1597F" w:rsidRDefault="00B1597F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</w:t>
      </w:r>
      <w:r w:rsidRPr="00B1597F">
        <w:rPr>
          <w:rFonts w:ascii="Times New Roman" w:hAnsi="Times New Roman" w:cs="Times New Roman"/>
          <w:sz w:val="24"/>
          <w:szCs w:val="24"/>
        </w:rPr>
        <w:t xml:space="preserve"> Szczepanik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54">
        <w:rPr>
          <w:rFonts w:ascii="Times New Roman" w:hAnsi="Times New Roman" w:cs="Times New Roman"/>
          <w:sz w:val="24"/>
          <w:szCs w:val="24"/>
        </w:rPr>
        <w:t>wyjaś</w:t>
      </w:r>
      <w:r w:rsidR="00680DBC">
        <w:rPr>
          <w:rFonts w:ascii="Times New Roman" w:hAnsi="Times New Roman" w:cs="Times New Roman"/>
          <w:sz w:val="24"/>
          <w:szCs w:val="24"/>
        </w:rPr>
        <w:t xml:space="preserve">niła, że w momencie kiedy analizują te dokumenty to widzą </w:t>
      </w:r>
      <w:r w:rsidR="00146B43">
        <w:rPr>
          <w:rFonts w:ascii="Times New Roman" w:hAnsi="Times New Roman" w:cs="Times New Roman"/>
          <w:sz w:val="24"/>
          <w:szCs w:val="24"/>
        </w:rPr>
        <w:t>czy dana umowa jest zawarta na czas okreś</w:t>
      </w:r>
      <w:r w:rsidR="001E6654">
        <w:rPr>
          <w:rFonts w:ascii="Times New Roman" w:hAnsi="Times New Roman" w:cs="Times New Roman"/>
          <w:sz w:val="24"/>
          <w:szCs w:val="24"/>
        </w:rPr>
        <w:t>lony, czy też nie, a w zeznaniach</w:t>
      </w:r>
      <w:r w:rsidR="00146B43">
        <w:rPr>
          <w:rFonts w:ascii="Times New Roman" w:hAnsi="Times New Roman" w:cs="Times New Roman"/>
          <w:sz w:val="24"/>
          <w:szCs w:val="24"/>
        </w:rPr>
        <w:t xml:space="preserve"> tego nie widać chyba że byłoby to i to.</w:t>
      </w:r>
    </w:p>
    <w:p w:rsidR="00146B43" w:rsidRPr="00B1597F" w:rsidRDefault="00146B43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Radny Marcin Samul powiedział żeby to również dopisac jeśli można.</w:t>
      </w:r>
    </w:p>
    <w:p w:rsidR="00B1597F" w:rsidRDefault="00146B43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</w:t>
      </w:r>
      <w:r w:rsidR="001E6654">
        <w:rPr>
          <w:rFonts w:ascii="Times New Roman" w:hAnsi="Times New Roman" w:cs="Times New Roman"/>
          <w:sz w:val="24"/>
          <w:szCs w:val="24"/>
        </w:rPr>
        <w:t xml:space="preserve"> Eugenisz Zwierzchowski zapytał, </w:t>
      </w:r>
      <w:r>
        <w:rPr>
          <w:rFonts w:ascii="Times New Roman" w:hAnsi="Times New Roman" w:cs="Times New Roman"/>
          <w:sz w:val="24"/>
          <w:szCs w:val="24"/>
        </w:rPr>
        <w:t>co znaczy interes dłuznika.</w:t>
      </w:r>
    </w:p>
    <w:p w:rsidR="00146B43" w:rsidRDefault="001E6654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Karina Jarząbek wyjaś</w:t>
      </w:r>
      <w:r w:rsidR="00146B43">
        <w:rPr>
          <w:rFonts w:ascii="Times New Roman" w:hAnsi="Times New Roman" w:cs="Times New Roman"/>
          <w:sz w:val="24"/>
          <w:szCs w:val="24"/>
        </w:rPr>
        <w:t>nił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6B43">
        <w:rPr>
          <w:rFonts w:ascii="Times New Roman" w:hAnsi="Times New Roman" w:cs="Times New Roman"/>
          <w:sz w:val="24"/>
          <w:szCs w:val="24"/>
        </w:rPr>
        <w:t>, że to jest zmiana wymuszona zmianą ustawy w tym zakresie. A napewno w interesie dłużnika będzie umorzenie takich należności, które przy założoneiu, że nie jest wstanie</w:t>
      </w:r>
      <w:r w:rsidR="00996A0F">
        <w:rPr>
          <w:rFonts w:ascii="Times New Roman" w:hAnsi="Times New Roman" w:cs="Times New Roman"/>
          <w:sz w:val="24"/>
          <w:szCs w:val="24"/>
        </w:rPr>
        <w:t xml:space="preserve"> tego odpracowć ani zapłacić</w:t>
      </w:r>
      <w:r w:rsidR="00146B43">
        <w:rPr>
          <w:rFonts w:ascii="Times New Roman" w:hAnsi="Times New Roman" w:cs="Times New Roman"/>
          <w:sz w:val="24"/>
          <w:szCs w:val="24"/>
        </w:rPr>
        <w:t xml:space="preserve"> poprawi się jego sytauacja bytowa.</w:t>
      </w:r>
    </w:p>
    <w:p w:rsidR="00146B43" w:rsidRDefault="00765469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Z-ca Burmistrz</w:t>
      </w:r>
      <w:r w:rsidR="00996A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T. Witkowski dodał, że intencją dzisiajszego </w:t>
      </w:r>
      <w:r w:rsidR="00996A0F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 xml:space="preserve">było to, aby nie wysyłać tego dokumentu do Urzędu Ochrony Konkurencji, </w:t>
      </w:r>
      <w:r w:rsidR="00996A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później otr</w:t>
      </w:r>
      <w:r w:rsidR="00032CD0">
        <w:rPr>
          <w:rFonts w:ascii="Times New Roman" w:hAnsi="Times New Roman" w:cs="Times New Roman"/>
          <w:sz w:val="24"/>
          <w:szCs w:val="24"/>
        </w:rPr>
        <w:t>zymać</w:t>
      </w:r>
      <w:r>
        <w:rPr>
          <w:rFonts w:ascii="Times New Roman" w:hAnsi="Times New Roman" w:cs="Times New Roman"/>
          <w:sz w:val="24"/>
          <w:szCs w:val="24"/>
        </w:rPr>
        <w:t xml:space="preserve"> tam jakąś opinię i przedłożyć go dopiero Komisji, a następnie Radzie.</w:t>
      </w:r>
      <w:r w:rsidR="00B11C0D">
        <w:rPr>
          <w:rFonts w:ascii="Times New Roman" w:hAnsi="Times New Roman" w:cs="Times New Roman"/>
          <w:sz w:val="24"/>
          <w:szCs w:val="24"/>
        </w:rPr>
        <w:t xml:space="preserve"> Dodał, że propozycja radnego P. Szpulaka jest do przemyślenia </w:t>
      </w:r>
      <w:r w:rsidR="00E502FC">
        <w:rPr>
          <w:rFonts w:ascii="Times New Roman" w:hAnsi="Times New Roman" w:cs="Times New Roman"/>
          <w:sz w:val="24"/>
          <w:szCs w:val="24"/>
        </w:rPr>
        <w:t>i być może będzie to dopisane przy kolejnym projekcie uchwały, ale niekoniecznie w</w:t>
      </w:r>
      <w:r w:rsidR="00996A0F">
        <w:rPr>
          <w:rFonts w:ascii="Times New Roman" w:hAnsi="Times New Roman" w:cs="Times New Roman"/>
          <w:sz w:val="24"/>
          <w:szCs w:val="24"/>
        </w:rPr>
        <w:t xml:space="preserve"> tym, </w:t>
      </w:r>
      <w:bookmarkStart w:id="0" w:name="_GoBack"/>
      <w:bookmarkEnd w:id="0"/>
      <w:r w:rsidR="00E502FC">
        <w:rPr>
          <w:rFonts w:ascii="Times New Roman" w:hAnsi="Times New Roman" w:cs="Times New Roman"/>
          <w:sz w:val="24"/>
          <w:szCs w:val="24"/>
        </w:rPr>
        <w:t>może będzie ten zapis w innej uchwale.</w:t>
      </w:r>
    </w:p>
    <w:p w:rsidR="00E502FC" w:rsidRDefault="00E502FC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P. Szpulak poddał wniosek dotyczacy zeznań podatkowych pod głosowanie.</w:t>
      </w:r>
    </w:p>
    <w:p w:rsidR="00E502FC" w:rsidRDefault="00E502FC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przyjeła w/w wniosek za 6 jednogłośnie.</w:t>
      </w:r>
    </w:p>
    <w:p w:rsidR="00A064DE" w:rsidRPr="00A064DE" w:rsidRDefault="00A064DE" w:rsidP="00A064DE">
      <w:pPr>
        <w:pStyle w:val="Nagwek1"/>
      </w:pPr>
      <w:r w:rsidRPr="00A064DE">
        <w:t>Ad 2</w:t>
      </w:r>
    </w:p>
    <w:p w:rsidR="00A064DE" w:rsidRDefault="00A064DE" w:rsidP="00A0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Komisja </w:t>
      </w:r>
      <w:r w:rsidR="0019032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zapoznała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się z ponowną skargą </w:t>
      </w:r>
      <w:r w:rsidRPr="00CE6A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działalność Burmistrza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w kwestii odmowy sprzedaży lokalu mieszkalnego oraz żądania spłaty umorzonych wcześniej należności zostanie. Przewodniczący poprosił, aby pochylić się nad tą skargą na następnym posiedzeniu.</w:t>
      </w:r>
    </w:p>
    <w:p w:rsidR="00A064DE" w:rsidRDefault="00A064DE" w:rsidP="00A0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Następnie Komisja zapoznała się ze skargą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Dyrektora Zarządu Nieruchomości Miejskich w kwestii niesłusznego nałożenia na skarżącą poniesienia kosztów z tytułu dewastacji mieszkania i klatki schodowej oraz zastrzeżeń do działalności Zarządu Nieruchomości Miejskich.</w:t>
      </w:r>
      <w:r w:rsidR="0019032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Komisja podejmie decyzję na kolejnym posiedzeniu.</w:t>
      </w:r>
    </w:p>
    <w:p w:rsidR="00190322" w:rsidRDefault="00190322" w:rsidP="0019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Następnie Komisja zapoznała się ze skargą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Dyrektora Zarządu Nieruchomości Miejskich w sprawie niejasnego wyboru oferentów na przydział lokalu mieszkalnego do remontu we własnym zakresie.</w:t>
      </w:r>
      <w:r w:rsidRPr="0019032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Komisja podejmie decyzję na kolejnym posiedzeniu.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 tym protokół zakończono 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Protokołowała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Anna Polańska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</w:t>
      </w:r>
    </w:p>
    <w:p w:rsid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0322" w:rsidRP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</w:p>
    <w:sectPr w:rsidR="00190322" w:rsidRPr="0019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A8" w:rsidRDefault="00092FA8" w:rsidP="00092FA8">
      <w:pPr>
        <w:spacing w:after="0" w:line="240" w:lineRule="auto"/>
      </w:pPr>
      <w:r>
        <w:separator/>
      </w:r>
    </w:p>
  </w:endnote>
  <w:endnote w:type="continuationSeparator" w:id="0">
    <w:p w:rsidR="00092FA8" w:rsidRDefault="00092FA8" w:rsidP="000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A8" w:rsidRDefault="00092FA8" w:rsidP="00092FA8">
      <w:pPr>
        <w:spacing w:after="0" w:line="240" w:lineRule="auto"/>
      </w:pPr>
      <w:r>
        <w:separator/>
      </w:r>
    </w:p>
  </w:footnote>
  <w:footnote w:type="continuationSeparator" w:id="0">
    <w:p w:rsidR="00092FA8" w:rsidRDefault="00092FA8" w:rsidP="0009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2"/>
    <w:rsid w:val="00032CD0"/>
    <w:rsid w:val="000623F5"/>
    <w:rsid w:val="00092FA8"/>
    <w:rsid w:val="00146B43"/>
    <w:rsid w:val="00190322"/>
    <w:rsid w:val="00197D4E"/>
    <w:rsid w:val="001E6654"/>
    <w:rsid w:val="00274201"/>
    <w:rsid w:val="002A05C3"/>
    <w:rsid w:val="00384F4C"/>
    <w:rsid w:val="003A025E"/>
    <w:rsid w:val="003A0F0F"/>
    <w:rsid w:val="003E726D"/>
    <w:rsid w:val="00410E71"/>
    <w:rsid w:val="005F22BB"/>
    <w:rsid w:val="0064218B"/>
    <w:rsid w:val="00680DBC"/>
    <w:rsid w:val="00765469"/>
    <w:rsid w:val="0077790C"/>
    <w:rsid w:val="00861264"/>
    <w:rsid w:val="008901E4"/>
    <w:rsid w:val="008A29D2"/>
    <w:rsid w:val="008C7D34"/>
    <w:rsid w:val="008E44A5"/>
    <w:rsid w:val="009501BE"/>
    <w:rsid w:val="00996A0F"/>
    <w:rsid w:val="009A3305"/>
    <w:rsid w:val="009D4412"/>
    <w:rsid w:val="00A064DE"/>
    <w:rsid w:val="00A70FB4"/>
    <w:rsid w:val="00A9759A"/>
    <w:rsid w:val="00B11C0D"/>
    <w:rsid w:val="00B1597F"/>
    <w:rsid w:val="00B83402"/>
    <w:rsid w:val="00B83AA2"/>
    <w:rsid w:val="00C44C1E"/>
    <w:rsid w:val="00C560B7"/>
    <w:rsid w:val="00D50881"/>
    <w:rsid w:val="00D85A7C"/>
    <w:rsid w:val="00E03274"/>
    <w:rsid w:val="00E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7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E"/>
    <w:pPr>
      <w:keepNext/>
      <w:spacing w:after="0" w:line="240" w:lineRule="auto"/>
      <w:ind w:firstLine="284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5A7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5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D4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D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A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64DE"/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7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E"/>
    <w:pPr>
      <w:keepNext/>
      <w:spacing w:after="0" w:line="240" w:lineRule="auto"/>
      <w:ind w:firstLine="284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5A7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5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D4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D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A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64DE"/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740-6D0A-423F-B4AC-47B3C83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76</cp:revision>
  <dcterms:created xsi:type="dcterms:W3CDTF">2018-03-08T09:09:00Z</dcterms:created>
  <dcterms:modified xsi:type="dcterms:W3CDTF">2018-03-23T11:33:00Z</dcterms:modified>
</cp:coreProperties>
</file>