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74" w:rsidRPr="0019614D" w:rsidRDefault="008D2774" w:rsidP="00537162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Przekształcenie użytkowania wieczystego we własność. ZASADY</w:t>
      </w:r>
    </w:p>
    <w:p w:rsidR="008D2774" w:rsidRPr="0019614D" w:rsidRDefault="008D2774" w:rsidP="005A64D1">
      <w:pPr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1 stycznia 2019 r. właściciele mieszkań w blokach oraz domów jednorodzinnych stojących na gruncie oddanym w użytkowanie wieczyste, uwłaszczą się z mocy prawa. Poniższa informacja ma na celu przybliżenie zasad przyjętych przez ustawodawcę.</w:t>
      </w:r>
    </w:p>
    <w:p w:rsidR="008D2774" w:rsidRPr="0019614D" w:rsidRDefault="008D2774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5 października 2018 r. weszła w życie ustawa z dnia 20 lipca 2018 r. o przekształceniu prawa użytkowania wieczystego gruntów zabudowanych na cele mieszkaniowe w prawo własności gruntów. Zgodnie z art. 1 ust. 1 wskazanej ustawy, z dniem 1 stycznia 2019 r. prawo użytkowania wieczystego gruntów zabudowanych na cele mieszkaniowe – tj.:</w:t>
      </w:r>
    </w:p>
    <w:p w:rsidR="008D2774" w:rsidRPr="0019614D" w:rsidRDefault="008D2774" w:rsidP="005A64D1">
      <w:pPr>
        <w:numPr>
          <w:ilvl w:val="0"/>
          <w:numId w:val="8"/>
        </w:num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budynkami mieszkalnymi jednorodzinnymi;</w:t>
      </w:r>
    </w:p>
    <w:p w:rsidR="008D2774" w:rsidRPr="0019614D" w:rsidRDefault="008D2774" w:rsidP="005A64D1">
      <w:pPr>
        <w:numPr>
          <w:ilvl w:val="0"/>
          <w:numId w:val="8"/>
        </w:num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budynkami mieszkalnymi wielorodzinnymi (co najmniej połowa lokali to lokale mieszkalne);</w:t>
      </w:r>
    </w:p>
    <w:p w:rsidR="008D2774" w:rsidRPr="0019614D" w:rsidRDefault="008D2774" w:rsidP="005A64D1">
      <w:pPr>
        <w:numPr>
          <w:ilvl w:val="0"/>
          <w:numId w:val="8"/>
        </w:num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budynkami, o których mowa w pkt 1 lub pkt 2, wraz z budynkami gospodarczymi, garażami, innymi obiektami budowlanymi lub urządzeniami budowlanymi, umożliwiającymi prawidłowe i racjonalne korzystanie z budynków mieszkalnych.</w:t>
      </w:r>
    </w:p>
    <w:p w:rsidR="008D2774" w:rsidRPr="0019614D" w:rsidRDefault="008D2774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przekształca się w prawo własności tych gruntów.</w:t>
      </w:r>
    </w:p>
    <w:p w:rsidR="00C73501" w:rsidRPr="0019614D" w:rsidRDefault="00C73501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Grunty stanowiące własność Skarbu Państwa przekształca Starosta Brzeski - Wydział Geodezji i </w:t>
      </w:r>
      <w:r w:rsidR="00537162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Gospodarki Nieruchomościami ul. 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Robotnicza 20.   </w:t>
      </w:r>
    </w:p>
    <w:p w:rsidR="008D2774" w:rsidRPr="0019614D" w:rsidRDefault="008D2774" w:rsidP="00D15DAD">
      <w:pPr>
        <w:spacing w:before="3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  <w:t>Potwierdzenie przekształcenia – z urzędu</w:t>
      </w:r>
    </w:p>
    <w:p w:rsidR="008D2774" w:rsidRPr="0019614D" w:rsidRDefault="008D2774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Potwierdzeniem faktu przekształcenia będzie zaświadczenie wydane przez </w:t>
      </w:r>
      <w:r w:rsidR="005A64D1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burmistrza Brzegu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z urzędu w ciągu 12 miesięcy, licząc od 1 stycznia 2019 r. Zaświadczenia będą wydawane sukcesywnie.</w:t>
      </w:r>
    </w:p>
    <w:p w:rsidR="008D2774" w:rsidRPr="0019614D" w:rsidRDefault="008D2774" w:rsidP="00D15DAD">
      <w:pPr>
        <w:spacing w:before="3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  <w:t>Potwierdzenie przekształcenia – na wniosek</w:t>
      </w:r>
    </w:p>
    <w:p w:rsidR="005A64D1" w:rsidRPr="0019614D" w:rsidRDefault="008D2774" w:rsidP="005A64D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Właściciel może złożyć wniosek o wydanie zaświadczenia. W tym przypadku należy wraz z wnioskiem wnieść opłatę skarbową w wysokości 50 zł. Termin na wydanie </w:t>
      </w:r>
      <w:r w:rsidR="005A64D1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zaświadczenia na wniosek wynosi:</w:t>
      </w:r>
    </w:p>
    <w:p w:rsidR="008D2774" w:rsidRPr="0019614D" w:rsidRDefault="008D2774" w:rsidP="005A64D1">
      <w:pPr>
        <w:pStyle w:val="Akapitzlist"/>
        <w:numPr>
          <w:ilvl w:val="0"/>
          <w:numId w:val="19"/>
        </w:num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4 mies</w:t>
      </w:r>
      <w:r w:rsidR="005A64D1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iące od dnia otrzymania wniosku;</w:t>
      </w:r>
    </w:p>
    <w:p w:rsidR="00D15DAD" w:rsidRPr="0019614D" w:rsidRDefault="005A64D1" w:rsidP="00537162">
      <w:pPr>
        <w:pStyle w:val="Akapitzlist"/>
        <w:numPr>
          <w:ilvl w:val="0"/>
          <w:numId w:val="19"/>
        </w:num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30 dni od dnia otrzymania wniosku w przypadku uzasadnionym  potrzeba dokonania czynności prawnej .</w:t>
      </w:r>
    </w:p>
    <w:p w:rsidR="0019614D" w:rsidRDefault="0019614D" w:rsidP="00D15DAD">
      <w:pPr>
        <w:spacing w:before="3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</w:p>
    <w:p w:rsidR="008D2774" w:rsidRPr="0019614D" w:rsidRDefault="008D2774" w:rsidP="00D15DAD">
      <w:pPr>
        <w:spacing w:before="3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  <w:bookmarkStart w:id="0" w:name="_GoBack"/>
      <w:bookmarkEnd w:id="0"/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  <w:lastRenderedPageBreak/>
        <w:t>Czy zaświadczenie należy złożyć do sądu/ewidencji gruntów?</w:t>
      </w:r>
    </w:p>
    <w:p w:rsidR="008D2774" w:rsidRPr="0019614D" w:rsidRDefault="008D2774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Nie. Zaświadczenia są z urzędu przekazywane zarówno do Sądu Rejonowego </w:t>
      </w:r>
      <w:r w:rsidR="005A64D1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w Brzegu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, jak i do </w:t>
      </w:r>
      <w:r w:rsidR="005A64D1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Starosty Brzeskiego - Wydział Geodezji i Gospodarki Nieruchomościami </w:t>
      </w:r>
    </w:p>
    <w:p w:rsidR="008D2774" w:rsidRPr="0019614D" w:rsidRDefault="008D2774" w:rsidP="00D15DAD">
      <w:pPr>
        <w:spacing w:before="3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  <w:t>Opłaty</w:t>
      </w:r>
    </w:p>
    <w:p w:rsidR="008D2774" w:rsidRPr="0019614D" w:rsidRDefault="008D2774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Przekształcenie prawa użytkowania wieczystego jest odpłatne. Nie rodzi to jednak za sobą żadnych nowych skutków finansowych poza tymi, które ponosili państwo do tej pory.</w:t>
      </w:r>
    </w:p>
    <w:p w:rsidR="005A64D1" w:rsidRPr="0019614D" w:rsidRDefault="008D2774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Roczna opłata </w:t>
      </w:r>
      <w:proofErr w:type="spellStart"/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przekształceniowa</w:t>
      </w:r>
      <w:proofErr w:type="spellEnd"/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odpowiada wysokości opłaty rocznej za użytkowanie wieczyste jaka obowiązywałaby w 2019 r. Opłatę należną za rok 2019 wnosi się w terminie do dnia 29.02.2020 r., a pozostałe opłaty w terminie 31 marca każdego roku, począwszy od 2020</w:t>
      </w:r>
      <w:r w:rsidR="005A64D1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r.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</w:t>
      </w:r>
    </w:p>
    <w:p w:rsidR="00491144" w:rsidRPr="0019614D" w:rsidRDefault="008D2774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Opła</w:t>
      </w:r>
      <w:r w:rsidR="00D15DAD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tę </w:t>
      </w:r>
      <w:proofErr w:type="spellStart"/>
      <w:r w:rsidR="00D15DAD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przekształceniowa</w:t>
      </w:r>
      <w:proofErr w:type="spellEnd"/>
      <w:r w:rsidR="00D15DAD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roczną wnosi się przez okres 20 lat. Opłata</w:t>
      </w:r>
      <w:r w:rsidR="00C85976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</w:t>
      </w:r>
      <w:r w:rsidR="00C44FC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obciąża każdoczesnego właściciela nieruchomości i</w:t>
      </w:r>
      <w:r w:rsidR="00D15DAD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może podlegać waloryzacji z </w:t>
      </w:r>
      <w:r w:rsidR="00491144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urzędu</w:t>
      </w:r>
      <w:r w:rsidR="00D15DAD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lub na wniosek właściciela nieruchomości, nie częściej niż raz na 3 lata</w:t>
      </w:r>
      <w:r w:rsidR="00491144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. O wysokości  zwaloryzowanej  opłaty burmistrz Brzegu zawiadamia na </w:t>
      </w:r>
      <w:r w:rsidR="00C85976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piśmie</w:t>
      </w:r>
      <w:r w:rsidR="00491144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.</w:t>
      </w:r>
      <w:r w:rsidR="00D15DAD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</w:t>
      </w:r>
    </w:p>
    <w:p w:rsidR="008D2774" w:rsidRPr="0019614D" w:rsidRDefault="008D2774" w:rsidP="005A64D1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Całą opłatę</w:t>
      </w:r>
      <w:r w:rsidR="00491144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</w:t>
      </w:r>
      <w:proofErr w:type="spellStart"/>
      <w:r w:rsidR="00491144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przekształceniową</w:t>
      </w:r>
      <w:proofErr w:type="spellEnd"/>
      <w:r w:rsidR="00491144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można też wpłacić jednorazowo – płatność "z góry"</w:t>
      </w:r>
      <w:r w:rsidR="00C50C8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przed wydaniem zaświadczenia</w:t>
      </w:r>
      <w:r w:rsidR="00491144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lub po wydaniu zaświadczenia. </w:t>
      </w:r>
    </w:p>
    <w:p w:rsidR="008D2774" w:rsidRPr="0019614D" w:rsidRDefault="008D2774" w:rsidP="00D15DAD">
      <w:pPr>
        <w:spacing w:before="3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  <w:t>Bonifikata</w:t>
      </w:r>
    </w:p>
    <w:p w:rsidR="00C44FC0" w:rsidRPr="0019614D" w:rsidRDefault="008D2774" w:rsidP="00F66CAB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W przypadku wniesienia </w:t>
      </w:r>
      <w:r w:rsidR="00C50C8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jednorazowo 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opłaty za przekształcenie gruntu stanowiącego własność </w:t>
      </w:r>
      <w:r w:rsidR="005A64D1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Gminy Brzeg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, osobom fizycznym będącym właścicielami budynków mieszkalnych jednorodzinnych lub lokali mieszkalnych lub spółdzielniom miesz</w:t>
      </w:r>
      <w:r w:rsidR="00C50C8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kaniowym przysługuje </w:t>
      </w:r>
      <w:r w:rsidR="00C50C80" w:rsidRPr="0019614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pl-PL"/>
        </w:rPr>
        <w:t>bonifikata w wysokości 70%.</w:t>
      </w:r>
      <w:r w:rsidR="00C50C8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Warunkiem udzielenia bonifikaty jest brak zaległości finansowych wobec  Gminy Brzeg z tytułu opłat rocznych  za użytkowanie wieczyste, podatku od nieruchomości oraz innych opłat  i należności związanych z </w:t>
      </w:r>
      <w:r w:rsidR="00D15DAD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przekształcaną nieruchomością.</w:t>
      </w:r>
    </w:p>
    <w:p w:rsidR="008D2774" w:rsidRPr="0019614D" w:rsidRDefault="008D2774" w:rsidP="00C50C80">
      <w:pPr>
        <w:spacing w:before="3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  <w:t>Całkowita spłata</w:t>
      </w:r>
    </w:p>
    <w:p w:rsidR="00C44FC0" w:rsidRPr="0019614D" w:rsidRDefault="008D2774" w:rsidP="00C44FC0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Po wniesieniu wszystkich opłat albo opłaty jednorazowej właściwy </w:t>
      </w:r>
      <w:r w:rsidR="00C85976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burmistrz Brzegu 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wydaje</w:t>
      </w:r>
      <w:r w:rsidR="00C44FC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,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z urzędu, w terminie 30 dni od dnia wniesienia opłat albo opłaty jednorazowej, zaświadczenie o wniesieniu</w:t>
      </w:r>
      <w:r w:rsidR="00C44FC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opłat albo opłaty jednorazowej. Zaświadczenie to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</w:t>
      </w:r>
      <w:r w:rsidR="00C44FC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wraz z 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wniosk</w:t>
      </w:r>
      <w:r w:rsidR="00C44FC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iem 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o wykreślenie w dziale III księgi wiecz</w:t>
      </w:r>
      <w:r w:rsidR="00C44FC0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ystej wpisu roszczenia o opłatę właściciel gruntu  składa w Sadzie Rejonowym w Brzegu. </w:t>
      </w:r>
    </w:p>
    <w:p w:rsidR="008D2774" w:rsidRPr="0019614D" w:rsidRDefault="00C44FC0" w:rsidP="00C44FC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lastRenderedPageBreak/>
        <w:t>Sąd Rejonowy w Brzegu  o</w:t>
      </w:r>
      <w:r w:rsidR="008D2774"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d wniosku o wykreślenie ww. wpisu pobiera się opłatę stałą w wysokości:</w:t>
      </w:r>
    </w:p>
    <w:p w:rsidR="008D2774" w:rsidRPr="0019614D" w:rsidRDefault="008D2774" w:rsidP="00D15DAD">
      <w:pPr>
        <w:numPr>
          <w:ilvl w:val="0"/>
          <w:numId w:val="10"/>
        </w:num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250 zł - w przypadku wniesienia opłaty jednorazowej;</w:t>
      </w:r>
    </w:p>
    <w:p w:rsidR="008D2774" w:rsidRPr="0019614D" w:rsidRDefault="008D2774" w:rsidP="005A64D1">
      <w:pPr>
        <w:numPr>
          <w:ilvl w:val="0"/>
          <w:numId w:val="10"/>
        </w:num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75 zł - w pozostałych przypadkach.</w:t>
      </w:r>
    </w:p>
    <w:p w:rsidR="008D2774" w:rsidRPr="0019614D" w:rsidRDefault="008D2774" w:rsidP="00D15D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  <w:t>Korzyści</w:t>
      </w:r>
    </w:p>
    <w:p w:rsidR="008D2774" w:rsidRPr="0019614D" w:rsidRDefault="008D2774" w:rsidP="00D15DAD">
      <w:pPr>
        <w:numPr>
          <w:ilvl w:val="0"/>
          <w:numId w:val="11"/>
        </w:numPr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nie będziesz płacić za użytkowanie wieczyste – będziesz właścicielem a nie użytkownikiem wieczystym,</w:t>
      </w:r>
    </w:p>
    <w:p w:rsidR="008D2774" w:rsidRPr="0019614D" w:rsidRDefault="008D2774" w:rsidP="005A64D1">
      <w:pPr>
        <w:numPr>
          <w:ilvl w:val="0"/>
          <w:numId w:val="11"/>
        </w:num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nie będzie aktualizacji opłat rocznych za użytkowanie wieczyste.</w:t>
      </w:r>
    </w:p>
    <w:p w:rsidR="00C50C80" w:rsidRPr="0019614D" w:rsidRDefault="00C50C80" w:rsidP="00C50C80">
      <w:pPr>
        <w:spacing w:before="3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pl-PL"/>
        </w:rPr>
        <w:t>A co, jeżeli mam wszczęte postępowanie na podstawie „starej” ustawy o przekształceniu?</w:t>
      </w:r>
    </w:p>
    <w:p w:rsidR="00C50C80" w:rsidRPr="0019614D" w:rsidRDefault="00C50C80" w:rsidP="0033791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Postępowania w sprawie przekształcenia prawa użytkowania wieczystego gruntu zabudowanego na cele mieszkaniowe, [...], wszczęte na podstawie ustawy [z 2005 r.] i niezakończone decyzją ostateczną do dnia 31 grudnia 2018 r., </w:t>
      </w: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>umarza się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, jeżeli użytkownik wieczysty lub współużytkownicy wieczyści, których suma udziałów wynosi co najmniej połowę, nie złożyli do dnia 31 marca 2019 r. [...] </w:t>
      </w:r>
      <w:r w:rsidRPr="0019614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pl-PL"/>
        </w:rPr>
        <w:t>oświadczenia</w:t>
      </w: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 o zamiarze prowadzenia dalszego postępowania na podstawie [dotychczasowych przepisów].</w:t>
      </w:r>
    </w:p>
    <w:p w:rsidR="00C73501" w:rsidRPr="0019614D" w:rsidRDefault="00C73501" w:rsidP="00C50C80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pl-PL"/>
        </w:rPr>
      </w:pPr>
      <w:r w:rsidRPr="0019614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  <w:lang w:eastAsia="pl-PL"/>
        </w:rPr>
        <w:t>Przydatne linki:</w:t>
      </w:r>
    </w:p>
    <w:p w:rsidR="00537162" w:rsidRPr="0019614D" w:rsidRDefault="00537162" w:rsidP="00C50C80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Pomoc publiczna: </w:t>
      </w:r>
    </w:p>
    <w:p w:rsidR="00537162" w:rsidRPr="0019614D" w:rsidRDefault="0019614D" w:rsidP="00C50C80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hyperlink r:id="rId5" w:anchor="faq3563" w:history="1">
        <w:r w:rsidR="00537162" w:rsidRPr="0019614D">
          <w:rPr>
            <w:rStyle w:val="Hipercze"/>
            <w:rFonts w:ascii="Times New Roman" w:eastAsia="Times New Roman" w:hAnsi="Times New Roman" w:cs="Times New Roman"/>
            <w:spacing w:val="5"/>
            <w:sz w:val="24"/>
            <w:szCs w:val="24"/>
            <w:lang w:eastAsia="pl-PL"/>
          </w:rPr>
          <w:t>https://www.uokik.gov.pl/wyjasnienia2.php#faq3563</w:t>
        </w:r>
      </w:hyperlink>
    </w:p>
    <w:p w:rsidR="00537162" w:rsidRPr="0019614D" w:rsidRDefault="00537162" w:rsidP="00C50C80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1961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Przekształcenie użytkowania wieczystego:</w:t>
      </w:r>
    </w:p>
    <w:p w:rsidR="00537162" w:rsidRPr="00337910" w:rsidRDefault="0019614D" w:rsidP="00C50C80">
      <w:pPr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</w:pPr>
      <w:hyperlink r:id="rId6" w:history="1">
        <w:r w:rsidR="00537162" w:rsidRPr="0019614D">
          <w:rPr>
            <w:rStyle w:val="Hipercze"/>
            <w:rFonts w:ascii="Times New Roman" w:eastAsia="Times New Roman" w:hAnsi="Times New Roman" w:cs="Times New Roman"/>
            <w:spacing w:val="5"/>
            <w:sz w:val="24"/>
            <w:szCs w:val="24"/>
            <w:lang w:eastAsia="pl-PL"/>
          </w:rPr>
          <w:t>https://www.miir.gov.pl/media/62888/wlasnosc.pdf</w:t>
        </w:r>
      </w:hyperlink>
    </w:p>
    <w:sectPr w:rsidR="00537162" w:rsidRPr="00337910" w:rsidSect="0033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917"/>
    <w:multiLevelType w:val="multilevel"/>
    <w:tmpl w:val="D8B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2F74"/>
    <w:multiLevelType w:val="multilevel"/>
    <w:tmpl w:val="5C0C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B3A8E"/>
    <w:multiLevelType w:val="multilevel"/>
    <w:tmpl w:val="194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56169"/>
    <w:multiLevelType w:val="multilevel"/>
    <w:tmpl w:val="7926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80E82"/>
    <w:multiLevelType w:val="hybridMultilevel"/>
    <w:tmpl w:val="9FAABE3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04D38D3"/>
    <w:multiLevelType w:val="multilevel"/>
    <w:tmpl w:val="75B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F5A8B"/>
    <w:multiLevelType w:val="multilevel"/>
    <w:tmpl w:val="920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3FE9"/>
    <w:multiLevelType w:val="multilevel"/>
    <w:tmpl w:val="F86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21180"/>
    <w:multiLevelType w:val="multilevel"/>
    <w:tmpl w:val="434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328C1"/>
    <w:multiLevelType w:val="multilevel"/>
    <w:tmpl w:val="4ADE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16744"/>
    <w:multiLevelType w:val="multilevel"/>
    <w:tmpl w:val="B01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B47FF"/>
    <w:multiLevelType w:val="multilevel"/>
    <w:tmpl w:val="77B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05089"/>
    <w:multiLevelType w:val="multilevel"/>
    <w:tmpl w:val="C71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F26B4"/>
    <w:multiLevelType w:val="multilevel"/>
    <w:tmpl w:val="0AC8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80691"/>
    <w:multiLevelType w:val="multilevel"/>
    <w:tmpl w:val="16E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234E3"/>
    <w:multiLevelType w:val="multilevel"/>
    <w:tmpl w:val="507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355A0"/>
    <w:multiLevelType w:val="multilevel"/>
    <w:tmpl w:val="65C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D3C6A"/>
    <w:multiLevelType w:val="multilevel"/>
    <w:tmpl w:val="BAC8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81E73"/>
    <w:multiLevelType w:val="multilevel"/>
    <w:tmpl w:val="A50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7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58"/>
    <w:rsid w:val="00002A58"/>
    <w:rsid w:val="0019614D"/>
    <w:rsid w:val="00337910"/>
    <w:rsid w:val="00474AA5"/>
    <w:rsid w:val="00491144"/>
    <w:rsid w:val="00537162"/>
    <w:rsid w:val="005A64D1"/>
    <w:rsid w:val="005B3C26"/>
    <w:rsid w:val="00816429"/>
    <w:rsid w:val="008D2774"/>
    <w:rsid w:val="00C44FC0"/>
    <w:rsid w:val="00C50C80"/>
    <w:rsid w:val="00C73501"/>
    <w:rsid w:val="00C85976"/>
    <w:rsid w:val="00D15DAD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3E9"/>
  <w15:chartTrackingRefBased/>
  <w15:docId w15:val="{83AF573D-E225-455C-A881-A7D0D38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1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4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0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2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89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415598">
              <w:marLeft w:val="-225"/>
              <w:marRight w:val="-225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8639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5901">
                              <w:marLeft w:val="0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3812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12" w:space="11" w:color="E3E3E3"/>
                  </w:divBdr>
                  <w:divsChild>
                    <w:div w:id="647245807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9115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6010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12" w:space="11" w:color="E3E3E3"/>
                  </w:divBdr>
                  <w:divsChild>
                    <w:div w:id="36592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6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ir.gov.pl/media/62888/wlasnosc.pdf" TargetMode="External"/><Relationship Id="rId5" Type="http://schemas.openxmlformats.org/officeDocument/2006/relationships/hyperlink" Target="https://www.uokik.gov.pl/wyjasnienia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Iwanowiec</dc:creator>
  <cp:keywords/>
  <dc:description/>
  <cp:lastModifiedBy>Mariola Jasińska</cp:lastModifiedBy>
  <cp:revision>5</cp:revision>
  <cp:lastPrinted>2019-04-04T08:20:00Z</cp:lastPrinted>
  <dcterms:created xsi:type="dcterms:W3CDTF">2019-04-04T08:24:00Z</dcterms:created>
  <dcterms:modified xsi:type="dcterms:W3CDTF">2019-04-04T08:30:00Z</dcterms:modified>
</cp:coreProperties>
</file>